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Calibri" w:hAnsi="Calibri" w:eastAsia="Times New Roman" w:cs="Times New Roman"/>
          <w:b/>
          <w:lang w:val="bg-BG" w:eastAsia="bg-BG"/>
        </w:rPr>
      </w:pPr>
      <w:r>
        <w:rPr>
          <w:rFonts w:ascii="Calibri" w:hAnsi="Calibri" w:eastAsia="Times New Roman" w:cs="Times New Roman"/>
          <w:b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-789305</wp:posOffset>
            </wp:positionH>
            <wp:positionV relativeFrom="paragraph">
              <wp:posOffset>-399415</wp:posOffset>
            </wp:positionV>
            <wp:extent cx="1047750" cy="942975"/>
            <wp:effectExtent l="0" t="0" r="0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 w:eastAsia="Times New Roman" w:cs="Times New Roman"/>
          <w:b/>
          <w:lang w:val="bg-BG" w:eastAsia="bg-BG"/>
        </w:rPr>
        <w:t xml:space="preserve">           ДЕТСКА ГРАДИНА „ПИНОКИО”, С.САМОВОДЕНЕ,ОБЩИНА ВЕЛИКО ТЪРНОВО</w:t>
      </w:r>
    </w:p>
    <w:p>
      <w:pPr>
        <w:rPr>
          <w:rFonts w:ascii="Calibri" w:hAnsi="Calibri" w:eastAsia="Times New Roman" w:cs="Times New Roman"/>
          <w:b/>
          <w:lang w:val="bg-BG" w:eastAsia="bg-BG"/>
        </w:rPr>
      </w:pPr>
    </w:p>
    <w:p>
      <w:pPr>
        <w:outlineLvl w:val="0"/>
        <w:rPr>
          <w:rFonts w:ascii="Times New Roman" w:hAnsi="Times New Roman" w:eastAsia="Times New Roman" w:cs="Times New Roman"/>
          <w:b/>
          <w:i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lang w:val="bg-BG" w:eastAsia="bg-BG"/>
        </w:rPr>
        <w:t>УТВЪРЖДАВАМ :</w:t>
      </w:r>
    </w:p>
    <w:p>
      <w:pPr>
        <w:outlineLvl w:val="0"/>
        <w:rPr>
          <w:rFonts w:ascii="Times New Roman" w:hAnsi="Times New Roman" w:eastAsia="Times New Roman" w:cs="Times New Roman"/>
          <w:b/>
          <w:i/>
          <w:sz w:val="28"/>
          <w:szCs w:val="28"/>
          <w:lang w:val="bg-BG" w:eastAsia="bg-BG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bg-BG" w:eastAsia="bg-BG"/>
        </w:rPr>
        <w:t>Директор:</w:t>
      </w:r>
    </w:p>
    <w:p>
      <w:pPr>
        <w:rPr>
          <w:rFonts w:ascii="Times New Roman" w:hAnsi="Times New Roman" w:eastAsia="Times New Roman" w:cs="Times New Roman"/>
          <w:b/>
          <w:i/>
          <w:sz w:val="28"/>
          <w:szCs w:val="28"/>
          <w:lang w:val="bg-BG" w:eastAsia="bg-BG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bg-BG" w:eastAsia="bg-BG"/>
        </w:rPr>
        <w:t>/ Албена Генчева /</w:t>
      </w:r>
    </w:p>
    <w:p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>
      <w:pPr>
        <w:rPr>
          <w:rFonts w:ascii="Calibri" w:hAnsi="Calibri" w:eastAsia="Times New Roman" w:cs="Times New Roman"/>
          <w:b/>
          <w:sz w:val="44"/>
          <w:u w:val="single"/>
          <w:lang w:val="ru-RU" w:eastAsia="bg-BG"/>
        </w:rPr>
      </w:pPr>
    </w:p>
    <w:p>
      <w:pPr>
        <w:rPr>
          <w:rFonts w:ascii="Calibri" w:hAnsi="Calibri" w:eastAsia="Times New Roman" w:cs="Times New Roman"/>
          <w:b/>
          <w:sz w:val="44"/>
          <w:u w:val="single"/>
          <w:lang w:val="ru-RU" w:eastAsia="bg-BG"/>
        </w:rPr>
      </w:pPr>
    </w:p>
    <w:p>
      <w:pPr>
        <w:jc w:val="center"/>
        <w:outlineLvl w:val="0"/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  <w:t>ГОДИШЕН ПЛАН</w:t>
      </w:r>
    </w:p>
    <w:p>
      <w:pPr>
        <w:jc w:val="center"/>
        <w:outlineLvl w:val="0"/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  <w:t>ЗА КВАЛИФИКАЦИОННА ДЕЙНОСТ</w:t>
      </w:r>
    </w:p>
    <w:p>
      <w:pPr>
        <w:jc w:val="center"/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  <w:t>НА</w:t>
      </w:r>
    </w:p>
    <w:p>
      <w:pPr>
        <w:jc w:val="center"/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  <w:t>ДЕТСКА ГРАДИНА  «ПИНОКИО»</w:t>
      </w:r>
    </w:p>
    <w:p>
      <w:pPr>
        <w:jc w:val="center"/>
        <w:rPr>
          <w:rFonts w:ascii="Times New Roman" w:hAnsi="Times New Roman" w:eastAsia="Times New Roman" w:cs="Times New Roman"/>
          <w:b/>
          <w:i/>
          <w:sz w:val="28"/>
          <w:szCs w:val="28"/>
          <w:lang w:val="bg-BG" w:eastAsia="bg-BG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bg-BG" w:eastAsia="bg-BG"/>
        </w:rPr>
        <w:t>С.САМОВОДЕНЕ,  ОБЩИНА ВЕЛИКО ТЪРНОВО,</w:t>
      </w:r>
    </w:p>
    <w:p>
      <w:pPr>
        <w:jc w:val="center"/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bg-BG" w:eastAsia="bg-BG"/>
        </w:rPr>
        <w:t xml:space="preserve">  ОБЛАСТ ВЕЛИКОТЪРНОВСКА</w:t>
      </w:r>
    </w:p>
    <w:p>
      <w:pPr>
        <w:jc w:val="center"/>
        <w:outlineLvl w:val="0"/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  <w:t>ЗА УЧЕБНАТА 202</w:t>
      </w:r>
      <w:r>
        <w:rPr>
          <w:rFonts w:hint="default" w:ascii="Times New Roman" w:hAnsi="Times New Roman" w:eastAsia="Times New Roman" w:cs="Times New Roman"/>
          <w:b/>
          <w:i/>
          <w:sz w:val="28"/>
          <w:szCs w:val="28"/>
          <w:lang w:val="en-US" w:eastAsia="bg-BG"/>
        </w:rPr>
        <w:t>3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  <w:t xml:space="preserve"> / 202</w:t>
      </w:r>
      <w:r>
        <w:rPr>
          <w:rFonts w:hint="default" w:ascii="Times New Roman" w:hAnsi="Times New Roman" w:eastAsia="Times New Roman" w:cs="Times New Roman"/>
          <w:b/>
          <w:i/>
          <w:sz w:val="28"/>
          <w:szCs w:val="28"/>
          <w:lang w:val="en-US" w:eastAsia="bg-BG"/>
        </w:rPr>
        <w:t>4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val="ru-RU" w:eastAsia="bg-BG"/>
        </w:rPr>
        <w:t xml:space="preserve"> ГОДИНА</w:t>
      </w:r>
    </w:p>
    <w:p>
      <w:pPr>
        <w:jc w:val="center"/>
        <w:rPr>
          <w:rFonts w:ascii="Calibri" w:hAnsi="Calibri" w:eastAsia="Times New Roman" w:cs="Times New Roman"/>
          <w:b/>
          <w:lang w:val="ru-RU" w:eastAsia="bg-BG"/>
        </w:rPr>
      </w:pPr>
    </w:p>
    <w:p>
      <w:pPr>
        <w:jc w:val="center"/>
        <w:rPr>
          <w:rFonts w:ascii="Calibri" w:hAnsi="Calibri" w:eastAsia="Times New Roman" w:cs="Times New Roman"/>
          <w:b/>
          <w:sz w:val="36"/>
          <w:lang w:val="ru-RU" w:eastAsia="bg-BG"/>
        </w:rPr>
      </w:pPr>
    </w:p>
    <w:p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  <w:t xml:space="preserve">Годишният план за повишаване на квалификацията на педагогическите специалисти, работещи в ДГ „Пинокио”  </w:t>
      </w:r>
      <w:r>
        <w:rPr>
          <w:rFonts w:ascii="Times New Roman" w:hAnsi="Times New Roman" w:eastAsia="Times New Roman" w:cs="Times New Roman"/>
          <w:bCs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  <w:t>е приет с решение №  на педагогическия съвет – Протокол № 4/ 1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bg-BG"/>
        </w:rPr>
        <w:t>4</w:t>
      </w:r>
      <w:r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  <w:t>.09.202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bg-BG"/>
        </w:rPr>
        <w:t>3</w:t>
      </w:r>
      <w:r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  <w:t xml:space="preserve"> г.</w:t>
      </w:r>
      <w:r>
        <w:rPr>
          <w:rFonts w:ascii="Times New Roman" w:hAnsi="Times New Roman" w:eastAsia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  <w:t xml:space="preserve">и утвърден със заповед на директора № 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bg-BG"/>
        </w:rPr>
        <w:t xml:space="preserve">38 </w:t>
      </w:r>
      <w:r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  <w:t xml:space="preserve"> / 1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bg-BG"/>
        </w:rPr>
        <w:t>4</w:t>
      </w:r>
      <w:r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  <w:t>.09. 202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bg-BG"/>
        </w:rPr>
        <w:t>3</w:t>
      </w:r>
      <w:r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  <w:t xml:space="preserve"> г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</w:rPr>
        <w:t>I</w:t>
      </w: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 xml:space="preserve"> АНАЛИЗ НА КВАЛИФИКАЦИОННАТА ДЕЙНОСТ В ДГ”ПИНОКИО”. ДЕФИЦИТИ ОТ КВАЛИФИКАЦИЯ НА ПЕДАГОГИЧЕСКИТЕ СПЕЦИАЛИСТИ.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От детската градина се очаква модерно обучение, непрекъснато осъвременяване, богата и развиваща среда, добра подготовка на децата за училище, но всичко това се случва само при висока степен на професионализъм на учителите. Той се постига не само с много опит, а и с добра квалификационна дейност.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През учебната 2022/2023 година в ДГ „Пинокио” са проведени следните планирани вътрешни квалификации на педагогическите кадри: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</w:p>
    <w:p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fr-FR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fr-FR"/>
        </w:rPr>
        <w:t>“Фолклорът, като средство за духовно и нравствено възпитание на децата в ПУВ“</w:t>
      </w:r>
      <w:r>
        <w:rPr>
          <w:rFonts w:hint="default" w:ascii="Times New Roman" w:hAnsi="Times New Roman" w:eastAsia="Times New Roman" w:cs="Times New Roman"/>
          <w:sz w:val="24"/>
          <w:szCs w:val="24"/>
          <w:lang w:val="bg-BG" w:eastAsia="fr-FR"/>
        </w:rPr>
        <w:t>- семинар</w:t>
      </w:r>
    </w:p>
    <w:p>
      <w:pPr>
        <w:spacing w:after="0"/>
        <w:jc w:val="both"/>
        <w:rPr>
          <w:rFonts w:hint="default" w:ascii="Times New Roman" w:hAnsi="Times New Roman" w:cs="Times New Roman"/>
          <w:sz w:val="24"/>
          <w:szCs w:val="24"/>
          <w:lang w:val="bg-BG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bg-BG" w:eastAsia="fr-FR"/>
        </w:rPr>
        <w:t>2.</w:t>
      </w:r>
      <w:r>
        <w:rPr>
          <w:rFonts w:ascii="Times New Roman" w:hAnsi="Times New Roman" w:eastAsia="Times New Roman" w:cs="Times New Roman"/>
          <w:sz w:val="24"/>
          <w:szCs w:val="24"/>
          <w:lang w:val="bg-BG" w:eastAsia="fr-FR"/>
        </w:rPr>
        <w:t>„Театрализираните дейности, като интерактивен метод за стимулиране на речевата активност“</w:t>
      </w:r>
      <w:r>
        <w:rPr>
          <w:rFonts w:hint="default" w:ascii="Times New Roman" w:hAnsi="Times New Roman" w:eastAsia="Times New Roman" w:cs="Times New Roman"/>
          <w:sz w:val="24"/>
          <w:szCs w:val="24"/>
          <w:lang w:val="bg-BG" w:eastAsia="fr-FR"/>
        </w:rPr>
        <w:t>- дискусия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numPr>
          <w:ilvl w:val="0"/>
          <w:numId w:val="0"/>
        </w:numPr>
        <w:spacing w:after="0"/>
        <w:ind w:leftChars="0"/>
        <w:jc w:val="both"/>
        <w:rPr>
          <w:rFonts w:hint="default" w:ascii="Times New Roman" w:hAnsi="Times New Roman" w:eastAsia="Times New Roman" w:cs="Times New Roman"/>
          <w:sz w:val="24"/>
          <w:szCs w:val="24"/>
          <w:lang w:val="bg-BG" w:eastAsia="fr-FR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bg-BG" w:eastAsia="fr-FR"/>
        </w:rPr>
        <w:t>3.</w:t>
      </w:r>
      <w:r>
        <w:rPr>
          <w:rFonts w:ascii="Times New Roman" w:hAnsi="Times New Roman" w:eastAsia="Times New Roman" w:cs="Times New Roman"/>
          <w:sz w:val="24"/>
          <w:szCs w:val="24"/>
          <w:lang w:val="bg-BG" w:eastAsia="fr-FR"/>
        </w:rPr>
        <w:t>„Игрите и формирането на граждански права и отговорности при децата“</w:t>
      </w:r>
      <w:r>
        <w:rPr>
          <w:rFonts w:hint="default" w:ascii="Times New Roman" w:hAnsi="Times New Roman" w:eastAsia="Times New Roman" w:cs="Times New Roman"/>
          <w:sz w:val="24"/>
          <w:szCs w:val="24"/>
          <w:lang w:val="bg-BG" w:eastAsia="fr-FR"/>
        </w:rPr>
        <w:t>- семинар</w:t>
      </w:r>
    </w:p>
    <w:p>
      <w:pPr>
        <w:numPr>
          <w:ilvl w:val="0"/>
          <w:numId w:val="0"/>
        </w:numPr>
        <w:spacing w:after="0"/>
        <w:ind w:leftChars="0"/>
        <w:jc w:val="both"/>
        <w:rPr>
          <w:rFonts w:hint="default" w:ascii="Times New Roman" w:hAnsi="Times New Roman" w:eastAsia="Times New Roman" w:cs="Times New Roman"/>
          <w:bCs/>
          <w:sz w:val="24"/>
          <w:szCs w:val="24"/>
          <w:lang w:val="bg-BG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bg-BG" w:eastAsia="fr-FR"/>
        </w:rPr>
        <w:t>4.</w:t>
      </w:r>
      <w:r>
        <w:rPr>
          <w:rFonts w:ascii="Times New Roman" w:hAnsi="Times New Roman" w:eastAsia="Times New Roman" w:cs="Times New Roman"/>
          <w:bCs/>
          <w:sz w:val="24"/>
          <w:szCs w:val="24"/>
          <w:lang w:val="bg-BG"/>
        </w:rPr>
        <w:t>„Ролята на родителите в процеса на социализация на детето“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bg-BG"/>
        </w:rPr>
        <w:t>- дискусия</w:t>
      </w:r>
    </w:p>
    <w:p>
      <w:pPr>
        <w:numPr>
          <w:ilvl w:val="0"/>
          <w:numId w:val="0"/>
        </w:numPr>
        <w:spacing w:after="0"/>
        <w:ind w:leftChars="0"/>
        <w:jc w:val="both"/>
        <w:rPr>
          <w:rFonts w:hint="default" w:ascii="Times New Roman" w:hAnsi="Times New Roman" w:eastAsia="Times New Roman" w:cs="Times New Roman"/>
          <w:sz w:val="24"/>
          <w:szCs w:val="24"/>
          <w:lang w:val="bg-BG" w:eastAsia="fr-FR"/>
        </w:rPr>
      </w:pPr>
      <w:r>
        <w:rPr>
          <w:rFonts w:hint="default" w:ascii="Times New Roman" w:hAnsi="Times New Roman" w:eastAsia="Times New Roman" w:cs="Times New Roman"/>
          <w:bCs/>
          <w:sz w:val="24"/>
          <w:szCs w:val="24"/>
          <w:lang w:val="bg-BG"/>
        </w:rPr>
        <w:t>5.</w:t>
      </w:r>
      <w:r>
        <w:rPr>
          <w:rFonts w:ascii="Times New Roman" w:hAnsi="Times New Roman" w:eastAsia="Times New Roman" w:cs="Times New Roman"/>
          <w:sz w:val="24"/>
          <w:szCs w:val="24"/>
          <w:lang w:val="bg-BG" w:eastAsia="fr-FR"/>
        </w:rPr>
        <w:t>„Интересни техники от изобразителното изкуство, намиращи приложение в ДГ“</w:t>
      </w:r>
      <w:r>
        <w:rPr>
          <w:rFonts w:hint="default" w:ascii="Times New Roman" w:hAnsi="Times New Roman" w:eastAsia="Times New Roman" w:cs="Times New Roman"/>
          <w:sz w:val="24"/>
          <w:szCs w:val="24"/>
          <w:lang w:val="bg-BG" w:eastAsia="fr-FR"/>
        </w:rPr>
        <w:t>- практикум</w:t>
      </w:r>
    </w:p>
    <w:p>
      <w:pPr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val="bg-BG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bg-BG" w:eastAsia="fr-FR"/>
        </w:rPr>
        <w:t>6</w:t>
      </w:r>
      <w:r>
        <w:rPr>
          <w:rFonts w:ascii="Times New Roman" w:hAnsi="Times New Roman" w:eastAsia="Times New Roman" w:cs="Times New Roman"/>
          <w:sz w:val="24"/>
          <w:szCs w:val="24"/>
          <w:lang w:val="bg-BG"/>
        </w:rPr>
        <w:t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bg-BG"/>
        </w:rPr>
        <w:t>„Своеобразие на речевото развитие в ДГ“</w:t>
      </w:r>
      <w:r>
        <w:rPr>
          <w:rFonts w:hint="default" w:ascii="Times New Roman" w:hAnsi="Times New Roman" w:eastAsia="Times New Roman" w:cs="Times New Roman"/>
          <w:sz w:val="24"/>
          <w:szCs w:val="24"/>
          <w:lang w:val="bg-BG"/>
        </w:rPr>
        <w:t>- семинар</w:t>
      </w:r>
    </w:p>
    <w:p>
      <w:pPr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bg-BG"/>
        </w:rPr>
        <w:t>7.</w:t>
      </w:r>
      <w:r>
        <w:rPr>
          <w:rFonts w:ascii="Times New Roman" w:hAnsi="Times New Roman" w:eastAsia="Times New Roman" w:cs="Times New Roman"/>
          <w:sz w:val="24"/>
          <w:szCs w:val="24"/>
        </w:rPr>
        <w:t>" Готовност за учене и адаптация на детето в първи клас"</w:t>
      </w:r>
      <w:r>
        <w:rPr>
          <w:rFonts w:hint="default" w:ascii="Times New Roman" w:hAnsi="Times New Roman" w:eastAsia="Times New Roman" w:cs="Times New Roman"/>
          <w:sz w:val="24"/>
          <w:szCs w:val="24"/>
          <w:lang w:val="bg-BG"/>
        </w:rPr>
        <w:t>- открита практика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Силните им страни са: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ru-RU"/>
        </w:rPr>
        <w:t>-</w:t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  споделяне и обсъждане на добри практики и тяхното осъвременяване чрез нови идеи;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 експериментиране на нови идеи;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-  добра предварителна подготовка на работните групи; 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 богат информационен материал, представен от провеждащия квалификацията.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Слаби страни: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 липса на точна и ясна мотивация за споделяне;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 темите да имат по-голяма практическа насоченост, за да са полезни в работата.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ru-RU"/>
        </w:rPr>
      </w:pP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</w:rPr>
        <w:t>II</w:t>
      </w: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 xml:space="preserve">  ПРИОРИТЕТИ ЗА КВАЛИФИКАЦИЯ И ОПРЕДЕЛЯНЕ НА ЦЕЛЕВИ ГРУПИ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1.Усъвършенстване на уменията и развитие на професионалните нагласи и ценности на педагогическия и непедагогически персонал. Всички участници във възпитателно-образователния процес да се чувстват еднакво отговорни, ангажирани, значими.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2.Оптимизиране на педагогическата дейност чрез развиване на индивидуалните компетентности на децата на основата на откриването на техните силни и слаби страни.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3.Създаване на условия за развиващо обучение за всяко дете, с неговите заложби, интереси и потребности.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4.Създаване на условия за спазване на държавните образователни стандарти и функциониране на детската градина в съответствие на нормативните изисквания.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5.Повишаване на самочувствието, мотивация за самоусъвършенстване и удовлетвореност на педагозите от придобитите компетентности.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6.Партньорство и сътрудничество с родителската общност чрез постоянен диалог, взаимно доверие и подкрепа.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</w:rPr>
        <w:t>III</w:t>
      </w: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 xml:space="preserve"> ОСНОВНИ ПРИНЦИПИ И ЦЕЛИ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Педагогическият колегиум е отворен за повишаване качеството на възпитателно-образователния процес чрез поставяне на детето в центъра на този процес. 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>Принципи: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1.Лично участие в избиране на квалификационните форми и теми.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2.Доброволно участие в квалификационната дейност, съобразно интересите.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>Цели: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1.Повишаване  на научната, педагогическа и методическа подготовка на учителите и създаване на мотивация за саморазвитие и самоусъвършенстване.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2.Усъвършенстване на професионалните умения на учителите и и успешното им кариерно развитие.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3.Подобряване качеството на работа в екип, а оттам повишаване авторитета и престижа на ДГ”Пинокио”.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4.Създаване на оптимални условия за повишаване на качеството и ефективността на възпитателно-образователния процес чрез добра лична подготовка и квалификация на педагогическия и непедагогически персонал.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>Задачи: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1.Прилагане на гъвкаво управление чрез оптимално използване на човешките ресурси.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2.Осигуряване на условия за организиране на разнообразни квалификационни форми за поддържане на професионалната компетентност.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3. Актуализиране на знанията в съответствие с новостите и обмен на идеи за качествено взаимодействие между педагогическите екипи.</w:t>
      </w:r>
    </w:p>
    <w:p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4.Поддържане на висока компетентност за особеностите на детското развитие и психо-педагогическата специфика на възрастта на децата.</w:t>
      </w:r>
    </w:p>
    <w:p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5.Прилагане на методи и форми за работа с децата, ориентирани към стимулиране на самостоятелност, себеизява и креативност.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6.Преодоляване на различни дефицити на: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организационна култура на работното място;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комуникативни умения за работа в екип;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ефективно планиране на индивидуалното професионално развитие.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</w:rPr>
        <w:t>IV</w:t>
      </w: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 xml:space="preserve"> ФОРМИ НА КВАЛИФИКАЦИЯ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В началото на учебната 202</w:t>
      </w:r>
      <w:r>
        <w:rPr>
          <w:rFonts w:hint="default" w:ascii="Times New Roman" w:hAnsi="Times New Roman" w:eastAsia="Times New Roman" w:cs="Times New Roman"/>
          <w:bCs/>
          <w:sz w:val="24"/>
          <w:szCs w:val="20"/>
          <w:lang w:val="bg-BG"/>
        </w:rPr>
        <w:t>3</w:t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 /202</w:t>
      </w:r>
      <w:r>
        <w:rPr>
          <w:rFonts w:hint="default" w:ascii="Times New Roman" w:hAnsi="Times New Roman" w:eastAsia="Times New Roman" w:cs="Times New Roman"/>
          <w:bCs/>
          <w:sz w:val="24"/>
          <w:szCs w:val="20"/>
          <w:lang w:val="bg-BG"/>
        </w:rPr>
        <w:t>4</w:t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 година бе направено устно проучване на потребностите и нагласите на педагогическия персонал  за участие в квалификационни дейности на ниво детска градина и извън институционално ниво. </w:t>
      </w:r>
    </w:p>
    <w:p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Предпочитани форми за обучение са:</w:t>
      </w:r>
    </w:p>
    <w:p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-  самообразование; </w:t>
      </w:r>
    </w:p>
    <w:p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 практикуми;</w:t>
      </w:r>
    </w:p>
    <w:p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-  дискусии; </w:t>
      </w:r>
    </w:p>
    <w:p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-  открити практики в групи и тяхното обсъждане; </w:t>
      </w:r>
    </w:p>
    <w:p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 работа в екип;</w:t>
      </w:r>
    </w:p>
    <w:p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 курсове с външен лектор;</w:t>
      </w:r>
    </w:p>
    <w:p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  семинари.</w:t>
      </w:r>
    </w:p>
    <w:p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</w:rPr>
        <w:t>V</w:t>
      </w: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 xml:space="preserve"> ДЕЙНОСТИ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>1.Вътрешно-квалификационна дейност</w:t>
      </w: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409"/>
        <w:gridCol w:w="1513"/>
        <w:gridCol w:w="1423"/>
        <w:gridCol w:w="1884"/>
        <w:gridCol w:w="9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i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lang w:eastAsia="bg-BG"/>
              </w:rPr>
              <w:t xml:space="preserve">     X</w:t>
            </w:r>
          </w:p>
        </w:tc>
        <w:tc>
          <w:tcPr>
            <w:tcW w:w="2409" w:type="dxa"/>
          </w:tcPr>
          <w:p>
            <w:pPr>
              <w:pStyle w:val="5"/>
              <w:numPr>
                <w:ilvl w:val="0"/>
                <w:numId w:val="0"/>
              </w:numPr>
              <w:spacing w:before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„Важното е да сме заедно – игри за развитие на емоционалните компетенции и социални умения у децата в ПУВ.“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</w:pPr>
          </w:p>
        </w:tc>
        <w:tc>
          <w:tcPr>
            <w:tcW w:w="1513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Дискусия</w:t>
            </w:r>
          </w:p>
        </w:tc>
        <w:tc>
          <w:tcPr>
            <w:tcW w:w="1423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Директор</w:t>
            </w:r>
          </w:p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Учители</w:t>
            </w:r>
          </w:p>
        </w:tc>
        <w:tc>
          <w:tcPr>
            <w:tcW w:w="1884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Ел.Ечева</w:t>
            </w:r>
          </w:p>
        </w:tc>
        <w:tc>
          <w:tcPr>
            <w:tcW w:w="958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2 час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</w:rPr>
              <w:t>a</w:t>
            </w:r>
          </w:p>
        </w:tc>
      </w:tr>
    </w:tbl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409"/>
        <w:gridCol w:w="1513"/>
        <w:gridCol w:w="1423"/>
        <w:gridCol w:w="1884"/>
        <w:gridCol w:w="9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bg-BG"/>
              </w:rPr>
              <w:t xml:space="preserve">    XI</w:t>
            </w:r>
          </w:p>
        </w:tc>
        <w:tc>
          <w:tcPr>
            <w:tcW w:w="2409" w:type="dxa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bg-BG" w:eastAsia="fr-FR"/>
              </w:rPr>
            </w:pPr>
            <w:r>
              <w:rPr>
                <w:sz w:val="24"/>
                <w:szCs w:val="24"/>
              </w:rPr>
              <w:t>„Игровият подход в педагогическата ситуация„Писане на сценарий и организиране на празник в ДГ.</w:t>
            </w:r>
            <w:r>
              <w:rPr>
                <w:rFonts w:hint="default"/>
                <w:sz w:val="24"/>
                <w:szCs w:val="24"/>
                <w:lang w:val="bg-BG"/>
              </w:rPr>
              <w:t>”</w:t>
            </w:r>
          </w:p>
          <w:p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13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Дискусия</w:t>
            </w:r>
          </w:p>
        </w:tc>
        <w:tc>
          <w:tcPr>
            <w:tcW w:w="1423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Директор</w:t>
            </w:r>
          </w:p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884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В.Хинова</w:t>
            </w:r>
          </w:p>
        </w:tc>
        <w:tc>
          <w:tcPr>
            <w:tcW w:w="958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2 часа</w:t>
            </w:r>
          </w:p>
        </w:tc>
      </w:tr>
    </w:tbl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bg-BG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409"/>
        <w:gridCol w:w="1513"/>
        <w:gridCol w:w="1423"/>
        <w:gridCol w:w="1884"/>
        <w:gridCol w:w="9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bg-BG"/>
              </w:rPr>
              <w:t xml:space="preserve">      XII</w:t>
            </w:r>
          </w:p>
        </w:tc>
        <w:tc>
          <w:tcPr>
            <w:tcW w:w="2409" w:type="dxa"/>
          </w:tcPr>
          <w:p>
            <w:pPr>
              <w:pStyle w:val="5"/>
              <w:numPr>
                <w:ilvl w:val="0"/>
                <w:numId w:val="0"/>
              </w:numPr>
              <w:spacing w:before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 Техники за стимулиране на логическото мислене и въображението при децата.“</w:t>
            </w:r>
          </w:p>
          <w:p>
            <w:pPr>
              <w:spacing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bg-BG" w:eastAsia="fr-FR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eastAsia="Times New Roman" w:cs="Times New Roman"/>
                <w:sz w:val="24"/>
                <w:szCs w:val="24"/>
                <w:lang w:val="bg-BG" w:eastAsia="fr-FR"/>
              </w:rPr>
            </w:pPr>
          </w:p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13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Семинар</w:t>
            </w:r>
          </w:p>
        </w:tc>
        <w:tc>
          <w:tcPr>
            <w:tcW w:w="1423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Директор</w:t>
            </w:r>
          </w:p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884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М.Радева</w:t>
            </w:r>
          </w:p>
        </w:tc>
        <w:tc>
          <w:tcPr>
            <w:tcW w:w="958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2 часа</w:t>
            </w:r>
          </w:p>
        </w:tc>
      </w:tr>
    </w:tbl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bg-BG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409"/>
        <w:gridCol w:w="1513"/>
        <w:gridCol w:w="1423"/>
        <w:gridCol w:w="1884"/>
        <w:gridCol w:w="9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01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bg-BG"/>
              </w:rPr>
              <w:t xml:space="preserve">     II</w:t>
            </w:r>
          </w:p>
        </w:tc>
        <w:tc>
          <w:tcPr>
            <w:tcW w:w="2409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„Приказка за цветовете – експериментално рисуване чрез отпечатъци по тема за достигане на самостоятелни изводи.“</w:t>
            </w:r>
          </w:p>
        </w:tc>
        <w:tc>
          <w:tcPr>
            <w:tcW w:w="1513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Дискусия</w:t>
            </w:r>
          </w:p>
        </w:tc>
        <w:tc>
          <w:tcPr>
            <w:tcW w:w="1423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Директор</w:t>
            </w:r>
          </w:p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884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Ел.Ечева</w:t>
            </w:r>
          </w:p>
        </w:tc>
        <w:tc>
          <w:tcPr>
            <w:tcW w:w="958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4 часа</w:t>
            </w:r>
          </w:p>
        </w:tc>
      </w:tr>
    </w:tbl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bg-BG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409"/>
        <w:gridCol w:w="1513"/>
        <w:gridCol w:w="1423"/>
        <w:gridCol w:w="1884"/>
        <w:gridCol w:w="9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bg-BG"/>
              </w:rPr>
              <w:t xml:space="preserve">    III</w:t>
            </w:r>
          </w:p>
        </w:tc>
        <w:tc>
          <w:tcPr>
            <w:tcW w:w="2409" w:type="dxa"/>
          </w:tcPr>
          <w:p>
            <w:pPr>
              <w:pStyle w:val="5"/>
              <w:numPr>
                <w:ilvl w:val="0"/>
                <w:numId w:val="0"/>
              </w:numPr>
              <w:spacing w:before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„Как да научим и стимулираме децата да работят в екип.“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13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Практикум</w:t>
            </w:r>
          </w:p>
        </w:tc>
        <w:tc>
          <w:tcPr>
            <w:tcW w:w="1423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Директор</w:t>
            </w:r>
          </w:p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884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В.Хинова</w:t>
            </w:r>
          </w:p>
        </w:tc>
        <w:tc>
          <w:tcPr>
            <w:tcW w:w="958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2 часа</w:t>
            </w:r>
          </w:p>
        </w:tc>
      </w:tr>
    </w:tbl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bg-BG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409"/>
        <w:gridCol w:w="1513"/>
        <w:gridCol w:w="1423"/>
        <w:gridCol w:w="1884"/>
        <w:gridCol w:w="9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bg-BG"/>
              </w:rPr>
              <w:t xml:space="preserve">     IV</w:t>
            </w:r>
          </w:p>
        </w:tc>
        <w:tc>
          <w:tcPr>
            <w:tcW w:w="2409" w:type="dxa"/>
          </w:tcPr>
          <w:p>
            <w:pPr>
              <w:pStyle w:val="5"/>
              <w:numPr>
                <w:ilvl w:val="0"/>
                <w:numId w:val="0"/>
              </w:numPr>
              <w:spacing w:before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„Внимание! Деца на пътя – кръстовище, пътни знаци, маркировка“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bg-BG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513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Семинар</w:t>
            </w:r>
          </w:p>
        </w:tc>
        <w:tc>
          <w:tcPr>
            <w:tcW w:w="1423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Директор</w:t>
            </w:r>
          </w:p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884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В.Хинова</w:t>
            </w:r>
          </w:p>
        </w:tc>
        <w:tc>
          <w:tcPr>
            <w:tcW w:w="958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bg-BG"/>
              </w:rPr>
              <w:t>2 часа</w:t>
            </w:r>
          </w:p>
        </w:tc>
      </w:tr>
    </w:tbl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bg-BG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409"/>
        <w:gridCol w:w="1513"/>
        <w:gridCol w:w="1423"/>
        <w:gridCol w:w="1884"/>
        <w:gridCol w:w="9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sz w:val="24"/>
                <w:szCs w:val="20"/>
              </w:rPr>
              <w:t xml:space="preserve">     V</w:t>
            </w:r>
          </w:p>
        </w:tc>
        <w:tc>
          <w:tcPr>
            <w:tcW w:w="2409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bg-BG"/>
              </w:rPr>
              <w:t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" Готовност за учене и адаптация на детето в първи клас"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0"/>
                <w:lang w:val="bg-BG"/>
              </w:rPr>
            </w:pPr>
          </w:p>
        </w:tc>
        <w:tc>
          <w:tcPr>
            <w:tcW w:w="1513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Открита практика</w:t>
            </w:r>
          </w:p>
        </w:tc>
        <w:tc>
          <w:tcPr>
            <w:tcW w:w="1423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Директор</w:t>
            </w:r>
          </w:p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Учители</w:t>
            </w:r>
          </w:p>
        </w:tc>
        <w:tc>
          <w:tcPr>
            <w:tcW w:w="1884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В.Хинова</w:t>
            </w:r>
          </w:p>
        </w:tc>
        <w:tc>
          <w:tcPr>
            <w:tcW w:w="958" w:type="dxa"/>
          </w:tcPr>
          <w:p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0"/>
                <w:lang w:val="bg-BG"/>
              </w:rPr>
              <w:t>2 часа</w:t>
            </w:r>
          </w:p>
        </w:tc>
      </w:tr>
    </w:tbl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>ПРАВИЛА ЗА УЧАСТИЕ В КВАЛИФИКАЦИОННА ДЕЙНОСТ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bg-BG" w:eastAsia="bg-BG"/>
        </w:rPr>
        <w:t>1.Общи положения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bg-BG" w:eastAsia="bg-BG"/>
        </w:rPr>
        <w:t xml:space="preserve">     </w:t>
      </w: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1.1.С тези правила се определят начина, условията и реда за участие във вътрешната квалификационна дейност на персонала.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1.2.Повишаването на квалификацията е непрекъснат процес на 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1.3.Всеки педагогически специалист  е длъжен ежегодно да участва във вътрешна квалификация - в не по-малко от 16 академични часа годишно. 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bg-BG" w:eastAsia="bg-BG"/>
        </w:rPr>
        <w:t>2.Принципи и критерии за подбор за обучение и повишаване на квалификацията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bg-BG" w:eastAsia="bg-BG"/>
        </w:rPr>
        <w:t xml:space="preserve">    </w:t>
      </w: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2.1.Адекватност на обучението.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2.2.Актуалност на обучението.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2.3.Осигуряване на равен достъп на всички желаещи да се обучават.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2.4.Съобразяване на обучението с интересите и желанията на педагозите.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2.5.Ефективност на обучението.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bg-BG" w:eastAsia="bg-BG"/>
        </w:rPr>
        <w:t>3.Етапи за реализиране на квалификационната дейност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3.1.Проучване на потребностите от обучение и квалификация.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3.2.Определяне на приоритетите за квалификация.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3.3. Планиране на обучението.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3.4.Организиране и провеждане на обучението.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3.5.Анализ и оценка на ефективността от обучението.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bg-BG" w:eastAsia="bg-BG"/>
        </w:rPr>
        <w:t xml:space="preserve">4. Условия и ред за организация и провеждане на вътрешноинстититуционалната квалификация 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4.1. Квалификационната дейност на педагогическия персонал на ниво детска градина  се осъществява по План за квалификационната дейност на детското заведение.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4.2. Повишаването на квалификацията на педагогическия персонал има за цел: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- да дава възможност за задоволяване на професионалните интереси на педагогическите кадри и за тяхното професионално развитие.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-  Квалификационната дейност на регионално и национално равнище се реализира със съдействието на РУО – В.Търново , университети, колежи, квалификационни институции, центрове за продължаващо обучение  и програми за квалификационни дейности. 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-  Във форми за повишаване на квалификацията могат да участват педагогически кадри, които работят в детската градина.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-  Педагогическите кадри се включват в организирани форми за повишаване на квалификацията  - по собствено желание,  по препоръка на работодателя или  по препоръка на експерти от РУО – В.Търново.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- Условията за участие във форми за повишаване на квалификацията (трудовоправни, финансови и др.) се договарят между педагогическите кадри и директора на детската градина .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ru-RU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4.3 Участие на непедагогическия персонал в квалификационна дейност</w:t>
      </w:r>
      <w:r>
        <w:rPr>
          <w:rFonts w:ascii="Times New Roman" w:hAnsi="Times New Roman" w:eastAsia="Times New Roman" w:cs="Times New Roman"/>
          <w:sz w:val="24"/>
          <w:szCs w:val="24"/>
          <w:lang w:val="ru-RU" w:eastAsia="bg-BG"/>
        </w:rPr>
        <w:t>.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 - Непедагогическият персонал има право да повишава образованието и професионалната си квалификация и да получава информация за възможностите за повишаване на професионалната си квалификация.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 -  Квалификационната дейност се реализира със съдействието на РУО – В.Търново , университети, колежи, квалификационни институции.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 -  Непедагогическите кадри се включват във форми за повишаване на образованието и квалификацията си -  по собствено желание и  по препоръка на директора на детската градина. 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 -  Условията за участие във форми за повишаване на квалификацията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(трудовоправни, финансови и др.) се договарят между непедагогическите кадри и директора на детската градина .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 </w:t>
      </w:r>
      <w:r>
        <w:rPr>
          <w:rFonts w:ascii="Times New Roman" w:hAnsi="Times New Roman" w:eastAsia="Times New Roman" w:cs="Times New Roman"/>
          <w:b/>
          <w:sz w:val="24"/>
          <w:szCs w:val="24"/>
          <w:lang w:val="bg-BG" w:eastAsia="bg-BG"/>
        </w:rPr>
        <w:t>5.Механизъм за финансова подкрепа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 5.1. Средствата за квалификация на персонала се определят в началото на всяка календарна година и са в размер на 1,2 % от годишния ФРЗ.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 5.2. Финансирането на извънучилищната квалификационна дейност се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>осигурява от Община Велико Търново в рамките на бюджета на детската градина .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 5.3. При наличие на изявено желание от определен учител за участие в квалификационен курс на собствени разноски, след съгласуване с директора на детската градина , да му се предоставя тази възможност.</w:t>
      </w:r>
    </w:p>
    <w:p>
      <w:pPr>
        <w:spacing w:after="0" w:line="300" w:lineRule="exact"/>
        <w:jc w:val="both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  <w:t xml:space="preserve">      5.4.Разходите по процедурите за придобиване на всяка професионално- квалификационна степен се заплащат от учителите. </w:t>
      </w:r>
    </w:p>
    <w:p>
      <w:pPr>
        <w:autoSpaceDE w:val="0"/>
        <w:autoSpaceDN w:val="0"/>
        <w:adjustRightInd w:val="0"/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</w:p>
    <w:p>
      <w:pPr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Calibri" w:hAnsi="Calibri" w:eastAsia="Times New Roman" w:cs="Times New Roman"/>
          <w:lang w:val="bg-BG" w:eastAsia="bg-BG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>2. Извън институционална квалификационна дейност</w:t>
      </w:r>
    </w:p>
    <w:p>
      <w:pPr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          През учебната 202</w:t>
      </w:r>
      <w:r>
        <w:rPr>
          <w:rFonts w:hint="default" w:ascii="Times New Roman" w:hAnsi="Times New Roman" w:eastAsia="Times New Roman" w:cs="Times New Roman"/>
          <w:bCs/>
          <w:sz w:val="24"/>
          <w:szCs w:val="20"/>
          <w:lang w:val="bg-BG"/>
        </w:rPr>
        <w:t>2</w:t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-202</w:t>
      </w:r>
      <w:r>
        <w:rPr>
          <w:rFonts w:hint="default" w:ascii="Times New Roman" w:hAnsi="Times New Roman" w:eastAsia="Times New Roman" w:cs="Times New Roman"/>
          <w:bCs/>
          <w:sz w:val="24"/>
          <w:szCs w:val="20"/>
          <w:lang w:val="bg-BG"/>
        </w:rPr>
        <w:t>3</w:t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 год. Педагогическият персонал  е участвал в извън институционална квалификационна дейност.</w:t>
      </w:r>
    </w:p>
    <w:p>
      <w:pPr>
        <w:jc w:val="both"/>
        <w:rPr>
          <w:rFonts w:ascii="Calibri" w:hAnsi="Calibri" w:eastAsia="Times New Roman" w:cs="Times New Roman"/>
          <w:lang w:val="bg-BG" w:eastAsia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          </w:t>
      </w:r>
    </w:p>
    <w:tbl>
      <w:tblPr>
        <w:tblStyle w:val="3"/>
        <w:tblW w:w="10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2070"/>
        <w:gridCol w:w="1800"/>
        <w:gridCol w:w="1710"/>
        <w:gridCol w:w="2430"/>
        <w:gridCol w:w="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5" w:type="dxa"/>
            <w:shd w:val="clear" w:color="auto" w:fill="auto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02.2022г.</w:t>
            </w:r>
          </w:p>
        </w:tc>
        <w:tc>
          <w:tcPr>
            <w:tcW w:w="2070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Обучение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 xml:space="preserve"> по безопасност и здраве, съгласно разпоредбите на Наредба №02 от 2009 год.</w:t>
            </w:r>
          </w:p>
        </w:tc>
        <w:tc>
          <w:tcPr>
            <w:tcW w:w="1800" w:type="dxa"/>
            <w:shd w:val="clear" w:color="auto" w:fill="auto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квалифик.</w:t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1710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Европейски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 xml:space="preserve"> образователен консултативен център - София</w:t>
            </w:r>
          </w:p>
        </w:tc>
        <w:tc>
          <w:tcPr>
            <w:tcW w:w="2430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 xml:space="preserve"> Хинова</w:t>
            </w:r>
          </w:p>
        </w:tc>
        <w:tc>
          <w:tcPr>
            <w:tcW w:w="975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bg-BG"/>
              </w:rPr>
              <w:t>0</w:t>
            </w:r>
            <w:bookmarkStart w:id="0" w:name="_GoBack"/>
            <w:bookmarkEnd w:id="0"/>
          </w:p>
        </w:tc>
      </w:tr>
    </w:tbl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</w:rPr>
        <w:t>VI</w:t>
      </w: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 xml:space="preserve">  ОЧАКВАНИ РЕЗУЛТАТИ, АНАЛИЗ И ОЦЕНКА НА ЕФЕКТИВНОСТТА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>1.Очаквани резултати: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1.1. Високо мотивирани педагози за усъвършенстване знанията, уменията и компетентностите, имащи потребност от информация за новости в педагогическата теория и практика.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1.2. Ефективно използване на съвременни иновации и обмяна на добри практики.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1.3. Учителят е активен фактор на собствената си квалификация.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1.4. Приемане на различни становища, мнения и идеи с желание за взаимопомощ, комуникативност, равнопоставеност за създаване на позитивна екипна атмосфера.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1.5. Успешно усвоено учебно съдържание и покрити държавни образователни стандарти от повече деца.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1.6. Развитие на умение за споделяне на добри практики.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>2.Критерии за анализ и оценка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2.1. Ефективност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2.2. Оптималност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2.3. Актуалност и социална значимост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2.4. Иновативност  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</w:rPr>
        <w:t>VII</w:t>
      </w: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 xml:space="preserve">  ФИНАНСИРАНЕ НА КВАЛИФИКАЦИОННАТА ДЕЙНОСТ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Сумата за финансиране на квалификационната дейност съгласно чл.35 от КТД от 17.08.2020 година е не по-малко от 1,2% от ФРЗ. ДГ „Пинокио” не е на делегиран бюджет и поради това не можем сами да разпределим средствата, необходими за извън институционалната квалификация. Разчитаме на община В.Търново да ни осигури необходимите средства.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ru-RU"/>
        </w:rPr>
      </w:pP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</w:rPr>
        <w:t>VIII</w:t>
      </w: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 xml:space="preserve">  КОНТРОЛ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  <w:tab/>
      </w: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>Контролът върху изпълнението на плана за квалификационната дейност в ДГ”Пинокио” се осъществява от директора, като тематиката и периодичността са заложени в План за контролната дейност на директора.</w:t>
      </w: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/>
          <w:bCs/>
          <w:sz w:val="24"/>
          <w:szCs w:val="20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</w:p>
    <w:p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</w:pPr>
      <w:r>
        <w:rPr>
          <w:rFonts w:ascii="Times New Roman" w:hAnsi="Times New Roman" w:eastAsia="Times New Roman" w:cs="Times New Roman"/>
          <w:bCs/>
          <w:sz w:val="24"/>
          <w:szCs w:val="20"/>
          <w:lang w:val="bg-BG"/>
        </w:rPr>
        <w:t xml:space="preserve"> </w:t>
      </w:r>
    </w:p>
    <w:p>
      <w:pPr>
        <w:rPr>
          <w:rFonts w:ascii="Times New Roman" w:hAnsi="Times New Roman" w:eastAsia="Times New Roman" w:cs="Times New Roman"/>
          <w:sz w:val="24"/>
          <w:szCs w:val="24"/>
          <w:lang w:val="bg-BG" w:eastAsia="bg-BG"/>
        </w:rPr>
      </w:pPr>
    </w:p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2EDFFB"/>
    <w:multiLevelType w:val="singleLevel"/>
    <w:tmpl w:val="EE2EDFF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53A"/>
    <w:rsid w:val="000E29D0"/>
    <w:rsid w:val="001C7C9B"/>
    <w:rsid w:val="002B5ECB"/>
    <w:rsid w:val="0032640F"/>
    <w:rsid w:val="0034653A"/>
    <w:rsid w:val="005A0DBF"/>
    <w:rsid w:val="006C3F61"/>
    <w:rsid w:val="007B2592"/>
    <w:rsid w:val="00810A84"/>
    <w:rsid w:val="009D4A80"/>
    <w:rsid w:val="009E4CFF"/>
    <w:rsid w:val="00B67C02"/>
    <w:rsid w:val="00E2712F"/>
    <w:rsid w:val="00F655F4"/>
    <w:rsid w:val="00FA3158"/>
    <w:rsid w:val="05761B7B"/>
    <w:rsid w:val="10B67616"/>
    <w:rsid w:val="173A6D43"/>
    <w:rsid w:val="4AFD6E06"/>
    <w:rsid w:val="60C14EA2"/>
    <w:rsid w:val="64AE436A"/>
    <w:rsid w:val="6549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1"/>
    <w:rPr>
      <w:sz w:val="25"/>
      <w:szCs w:val="25"/>
    </w:rPr>
  </w:style>
  <w:style w:type="character" w:customStyle="1" w:styleId="6">
    <w:name w:val="Изнесен текст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1779</Words>
  <Characters>10142</Characters>
  <Lines>84</Lines>
  <Paragraphs>23</Paragraphs>
  <TotalTime>7</TotalTime>
  <ScaleCrop>false</ScaleCrop>
  <LinksUpToDate>false</LinksUpToDate>
  <CharactersWithSpaces>11898</CharactersWithSpaces>
  <Application>WPS Office_12.2.0.13201_F1E327BC-269C-435d-A152-05C5408002CA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2022-09-13T12:35:00Z</dcterms:created>
  <dc:creator>Windows User</dc:creator>
  <cp:lastModifiedBy>user</cp:lastModifiedBy>
  <dcterms:modified xsi:type="dcterms:W3CDTF">2023-09-14T08:00:59Z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5EDC49FCCFCE45F69AE74B4A1D58963B_13</vt:lpwstr>
  </property>
</Properties>
</file>