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125"/>
        </w:tabs>
        <w:spacing w:after="0" w:line="240" w:lineRule="auto"/>
        <w:ind w:left="-709"/>
        <w:rPr>
          <w:rFonts w:ascii="Verdana" w:hAnsi="Verdana" w:eastAsia="Calibri" w:cs="Times New Roman"/>
          <w:sz w:val="20"/>
          <w:szCs w:val="20"/>
          <w:lang w:val="bg-BG"/>
        </w:rPr>
      </w:pPr>
    </w:p>
    <w:p>
      <w:pPr>
        <w:pStyle w:val="15"/>
        <w:tabs>
          <w:tab w:val="left" w:pos="1920"/>
          <w:tab w:val="left" w:pos="2265"/>
        </w:tabs>
        <w:rPr>
          <w:rFonts w:hint="default"/>
          <w:b/>
          <w:bCs/>
          <w:sz w:val="28"/>
          <w:szCs w:val="28"/>
          <w:lang w:val="bg-BG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bCs/>
          <w:sz w:val="28"/>
          <w:szCs w:val="28"/>
        </w:rPr>
        <w:t xml:space="preserve">    </w:t>
      </w:r>
      <w:r>
        <w:rPr>
          <w:rFonts w:hint="default"/>
          <w:b/>
          <w:bCs/>
          <w:sz w:val="28"/>
          <w:szCs w:val="28"/>
          <w:lang w:val="bg-BG"/>
        </w:rPr>
        <w:t>ДЕТСКА ГРАДИНА “ПИНОКИО”,САМОВОДЕНЕ,ОБЩИНА ВЕЛИКО ТЪРНОВО</w:t>
      </w:r>
    </w:p>
    <w:p>
      <w:pPr>
        <w:tabs>
          <w:tab w:val="left" w:pos="1920"/>
          <w:tab w:val="left" w:pos="22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>
      <w:pPr>
        <w:rPr>
          <w:rFonts w:hint="default"/>
          <w:lang w:val="en-US"/>
        </w:rPr>
      </w:pPr>
      <w:r>
        <w:rPr>
          <w:b/>
        </w:rPr>
        <w:t xml:space="preserve">                                                             ул. „</w:t>
      </w:r>
      <w:r>
        <w:rPr>
          <w:b/>
          <w:lang w:val="bg-BG"/>
        </w:rPr>
        <w:t>Никола</w:t>
      </w:r>
      <w:r>
        <w:rPr>
          <w:rFonts w:hint="default"/>
          <w:b/>
          <w:lang w:val="bg-BG"/>
        </w:rPr>
        <w:t xml:space="preserve"> Петков”</w:t>
      </w:r>
      <w:r>
        <w:rPr>
          <w:b/>
        </w:rPr>
        <w:t xml:space="preserve"> № </w:t>
      </w:r>
      <w:r>
        <w:rPr>
          <w:rFonts w:hint="default"/>
          <w:b/>
          <w:lang w:val="bg-BG"/>
        </w:rPr>
        <w:t>22</w:t>
      </w:r>
      <w:r>
        <w:rPr>
          <w:b/>
        </w:rPr>
        <w:t xml:space="preserve"> , e- mail  </w:t>
      </w:r>
      <w:r>
        <w:rPr>
          <w:rFonts w:hint="default"/>
          <w:b/>
          <w:lang w:val="en-US"/>
        </w:rPr>
        <w:t>info-3011</w:t>
      </w:r>
      <w:r>
        <w:rPr>
          <w:rFonts w:hint="default"/>
          <w:b/>
          <w:lang w:val="bg-BG"/>
        </w:rPr>
        <w:t>16</w:t>
      </w:r>
      <w:bookmarkStart w:id="0" w:name="_GoBack"/>
      <w:bookmarkEnd w:id="0"/>
      <w:r>
        <w:rPr>
          <w:rFonts w:hint="default"/>
          <w:b/>
          <w:lang w:val="en-US"/>
        </w:rPr>
        <w:t>@edu.mon.bg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Утвърдил:...............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Директор: Албена Генчева</w:t>
      </w:r>
    </w:p>
    <w:p>
      <w:pPr>
        <w:rPr>
          <w:sz w:val="28"/>
          <w:szCs w:val="28"/>
        </w:rPr>
      </w:pPr>
    </w:p>
    <w:p>
      <w:pPr>
        <w:shd w:val="clear" w:color="auto" w:fill="FFFFFF" w:themeFill="background1"/>
        <w:spacing w:after="80" w:line="240" w:lineRule="auto"/>
        <w:contextualSpacing/>
        <w:jc w:val="both"/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</w:pPr>
      <w:r>
        <w:rPr>
          <w:rFonts w:ascii="Verdana" w:hAnsi="Verdana"/>
          <w:color w:val="7F7F7F" w:themeColor="background1" w:themeShade="80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  <w:t>ПЛАН ЗА ДЕЙСТВИЕ  ПРЕЗ 202</w:t>
      </w:r>
      <w:r>
        <w:rPr>
          <w:rFonts w:hint="default" w:ascii="Times New Roman" w:hAnsi="Times New Roman" w:cs="Times New Roman"/>
          <w:color w:val="7F7F7F" w:themeColor="background1" w:themeShade="80"/>
          <w:sz w:val="36"/>
          <w:szCs w:val="36"/>
          <w:lang w:val="bg-BG"/>
        </w:rPr>
        <w:t>4</w:t>
      </w:r>
      <w:r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  <w:t xml:space="preserve"> ЗА БЕЗОПАСНОСТ НА ДВИЖЕНИЕТО </w:t>
      </w:r>
    </w:p>
    <w:p>
      <w:pPr>
        <w:shd w:val="clear" w:color="auto" w:fill="FFFFFF" w:themeFill="background1"/>
        <w:spacing w:after="80" w:line="240" w:lineRule="auto"/>
        <w:contextualSpacing/>
        <w:jc w:val="both"/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</w:pPr>
      <w:r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  <w:t xml:space="preserve">              ПО ПЪТИЩАТА НА ДГ“СЛЪНЦЕ“,ВЕЛИКО ТЪРНОВО ЗА </w:t>
      </w:r>
      <w:r>
        <w:rPr>
          <w:rFonts w:hint="default" w:ascii="Times New Roman" w:hAnsi="Times New Roman" w:cs="Times New Roman"/>
          <w:color w:val="7F7F7F" w:themeColor="background1" w:themeShade="80"/>
          <w:sz w:val="36"/>
          <w:szCs w:val="36"/>
          <w:lang w:val="en-US"/>
        </w:rPr>
        <w:t>2024</w:t>
      </w:r>
      <w:r>
        <w:rPr>
          <w:rFonts w:ascii="Times New Roman" w:hAnsi="Times New Roman" w:cs="Times New Roman"/>
          <w:color w:val="7F7F7F" w:themeColor="background1" w:themeShade="80"/>
          <w:sz w:val="36"/>
          <w:szCs w:val="36"/>
          <w:lang w:val="bg-BG"/>
        </w:rPr>
        <w:t xml:space="preserve"> ГОДИНА</w:t>
      </w:r>
    </w:p>
    <w:p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7F7F7F" w:themeColor="background1" w:themeShade="80"/>
          <w:sz w:val="20"/>
          <w:szCs w:val="20"/>
          <w:lang w:val="bg-BG"/>
        </w:rPr>
      </w:pPr>
    </w:p>
    <w:p>
      <w:pPr>
        <w:pBdr>
          <w:bottom w:val="single" w:color="auto" w:sz="4" w:space="1"/>
        </w:pBdr>
        <w:rPr>
          <w:rFonts w:ascii="Verdana" w:hAnsi="Verdana" w:eastAsia="Calibri" w:cs="Calibri"/>
          <w:b/>
          <w:color w:val="404040"/>
          <w:sz w:val="20"/>
          <w:szCs w:val="20"/>
          <w:lang w:val="bg-BG"/>
        </w:rPr>
      </w:pPr>
    </w:p>
    <w:p>
      <w:pPr>
        <w:pBdr>
          <w:bottom w:val="single" w:color="auto" w:sz="4" w:space="1"/>
        </w:pBdr>
        <w:rPr>
          <w:rFonts w:ascii="Verdana" w:hAnsi="Verdana" w:eastAsia="Calibri" w:cs="Calibri"/>
          <w:b/>
          <w:color w:val="404040"/>
          <w:sz w:val="20"/>
          <w:szCs w:val="20"/>
          <w:lang w:val="bg-BG"/>
        </w:rPr>
      </w:pPr>
      <w:r>
        <w:rPr>
          <w:rFonts w:ascii="Verdana" w:hAnsi="Verdana" w:eastAsia="Calibri" w:cs="Calibri"/>
          <w:b/>
          <w:color w:val="404040"/>
          <w:sz w:val="20"/>
          <w:szCs w:val="20"/>
          <w:lang w:val="bg-BG"/>
        </w:rPr>
        <w:t>Обща информация за Плана за действие 202</w:t>
      </w:r>
      <w:r>
        <w:rPr>
          <w:rFonts w:hint="default" w:ascii="Verdana" w:hAnsi="Verdana" w:eastAsia="Calibri" w:cs="Calibri"/>
          <w:b/>
          <w:color w:val="404040"/>
          <w:sz w:val="20"/>
          <w:szCs w:val="20"/>
          <w:lang w:val="bg-BG"/>
        </w:rPr>
        <w:t>4</w:t>
      </w:r>
      <w:r>
        <w:rPr>
          <w:rFonts w:ascii="Verdana" w:hAnsi="Verdana" w:eastAsia="Calibri" w:cs="Calibri"/>
          <w:b/>
          <w:color w:val="404040"/>
          <w:sz w:val="20"/>
          <w:szCs w:val="20"/>
          <w:lang w:val="bg-BG"/>
        </w:rPr>
        <w:t xml:space="preserve"> година за безопасност на движението по пътищата на Министерството на образованието и науката</w:t>
      </w:r>
    </w:p>
    <w:p>
      <w:pPr>
        <w:jc w:val="both"/>
        <w:rPr>
          <w:rFonts w:ascii="Verdana" w:hAnsi="Verdana" w:eastAsia="Calibri" w:cs="Calibri"/>
          <w:color w:val="000000" w:themeColor="text1"/>
          <w:sz w:val="20"/>
          <w:szCs w:val="20"/>
          <w:lang w:val="bg-BG"/>
          <w14:textFill>
            <w14:solidFill>
              <w14:schemeClr w14:val="tx1"/>
            </w14:solidFill>
          </w14:textFill>
        </w:rPr>
      </w:pPr>
      <w:r>
        <w:rPr>
          <w:rFonts w:ascii="Verdana" w:hAnsi="Verdana" w:eastAsia="Calibri" w:cs="Calibri"/>
          <w:color w:val="000000" w:themeColor="text1"/>
          <w:sz w:val="20"/>
          <w:szCs w:val="20"/>
          <w:lang w:val="bg-BG"/>
          <w14:textFill>
            <w14:solidFill>
              <w14:schemeClr w14:val="tx1"/>
            </w14:solidFill>
          </w14:textFill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>
      <w:pPr>
        <w:jc w:val="both"/>
        <w:rPr>
          <w:rFonts w:ascii="Verdana" w:hAnsi="Verdana" w:eastAsia="Calibri" w:cs="Calibri"/>
          <w:color w:val="404040"/>
          <w:sz w:val="20"/>
          <w:szCs w:val="20"/>
          <w:lang w:val="bg-BG"/>
        </w:rPr>
      </w:pPr>
      <w:r>
        <w:rPr>
          <w:rFonts w:ascii="Verdana" w:hAnsi="Verdana" w:eastAsia="Calibri" w:cs="Calibri"/>
          <w:color w:val="404040"/>
          <w:sz w:val="20"/>
          <w:szCs w:val="20"/>
          <w:lang w:val="bg-BG"/>
        </w:rPr>
        <w:t>Планът обхваща първата година от действието на Националната стратегия за безопасност на движението по пътищата в Република България 2021 - 2030 г. и Плана за действие 2021-2023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>
      <w:pPr>
        <w:jc w:val="both"/>
        <w:rPr>
          <w:rFonts w:ascii="Verdana" w:hAnsi="Verdana" w:eastAsia="Calibri" w:cs="Calibri"/>
          <w:color w:val="404040"/>
          <w:sz w:val="20"/>
          <w:szCs w:val="20"/>
          <w:lang w:val="bg-BG"/>
        </w:rPr>
      </w:pPr>
      <w:r>
        <w:rPr>
          <w:rFonts w:ascii="Verdana" w:hAnsi="Verdana" w:eastAsia="Calibri" w:cs="Calibri"/>
          <w:color w:val="404040"/>
          <w:sz w:val="20"/>
          <w:szCs w:val="20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Плана за действие 2021 - 2023 към Националната стратегия за безопасност на движението по пътищата. </w:t>
      </w:r>
    </w:p>
    <w:p>
      <w:pPr>
        <w:jc w:val="both"/>
        <w:rPr>
          <w:rFonts w:ascii="Verdana" w:hAnsi="Verdana" w:eastAsia="Calibri" w:cs="Calibri"/>
          <w:color w:val="404040"/>
          <w:sz w:val="20"/>
          <w:szCs w:val="20"/>
          <w:lang w:val="bg-BG"/>
        </w:rPr>
      </w:pPr>
      <w:r>
        <w:rPr>
          <w:rFonts w:ascii="Verdana" w:hAnsi="Verdana" w:eastAsia="Calibri" w:cs="Calibri"/>
          <w:color w:val="404040"/>
          <w:sz w:val="20"/>
          <w:szCs w:val="20"/>
          <w:lang w:val="bg-BG"/>
        </w:rPr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>
      <w:pPr>
        <w:jc w:val="both"/>
        <w:rPr>
          <w:rFonts w:ascii="Verdana" w:hAnsi="Verdana" w:eastAsia="Calibri" w:cs="Calibri"/>
          <w:color w:val="404040"/>
          <w:sz w:val="20"/>
          <w:szCs w:val="20"/>
          <w:lang w:val="bg-BG"/>
        </w:rPr>
      </w:pPr>
      <w:r>
        <w:rPr>
          <w:rFonts w:ascii="Verdana" w:hAnsi="Verdana" w:eastAsia="Calibri" w:cs="Calibri"/>
          <w:color w:val="404040"/>
          <w:sz w:val="20"/>
          <w:szCs w:val="20"/>
          <w:lang w:val="bg-BG"/>
        </w:rPr>
        <w:t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</w:t>
      </w:r>
    </w:p>
    <w:p>
      <w:pPr>
        <w:jc w:val="both"/>
        <w:rPr>
          <w:rFonts w:ascii="Verdana" w:hAnsi="Verdana" w:eastAsia="Calibri" w:cs="Calibri"/>
          <w:color w:val="404040"/>
          <w:sz w:val="20"/>
          <w:szCs w:val="20"/>
          <w:lang w:val="bg-BG"/>
        </w:rPr>
      </w:pPr>
    </w:p>
    <w:tbl>
      <w:tblPr>
        <w:tblStyle w:val="37"/>
        <w:tblpPr w:leftFromText="180" w:rightFromText="180" w:vertAnchor="text" w:tblpX="-714" w:tblpY="1"/>
        <w:tblOverlap w:val="never"/>
        <w:tblW w:w="14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5" w:type="dxa"/>
            <w:gridSpan w:val="7"/>
            <w:shd w:val="clear" w:color="auto" w:fill="F1F1F1" w:themeFill="background1" w:themeFillShade="F2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8"/>
                <w:szCs w:val="8"/>
                <w:lang w:val="bg-BG"/>
              </w:rPr>
            </w:pP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ТЕМАТИЧНО НАПРАВЛЕНИЕ 1: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8"/>
                <w:szCs w:val="8"/>
                <w:lang w:val="bg-BG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1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2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3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Ефект на мярката</w:t>
            </w:r>
          </w:p>
        </w:tc>
        <w:tc>
          <w:tcPr>
            <w:tcW w:w="1984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4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Отговорник по мярката</w:t>
            </w:r>
          </w:p>
        </w:tc>
        <w:tc>
          <w:tcPr>
            <w:tcW w:w="3260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5</w:t>
            </w:r>
          </w:p>
          <w:p>
            <w:pPr>
              <w:spacing w:before="80" w:after="80" w:line="240" w:lineRule="auto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126" w:type="dxa"/>
            <w:shd w:val="clear" w:color="auto" w:fill="D8D8D8" w:themeFill="background1" w:themeFillShade="D9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6</w:t>
            </w:r>
          </w:p>
          <w:p>
            <w:pPr>
              <w:spacing w:before="80" w:after="80" w:line="240" w:lineRule="auto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 xml:space="preserve">1.1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3907" w:type="dxa"/>
            <w:gridSpan w:val="6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 xml:space="preserve">Цел: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Отчитане изпълнението на Плана за действие за БДП за 202</w:t>
            </w:r>
            <w:r>
              <w:rPr>
                <w:rFonts w:hint="default" w:ascii="Verdana" w:hAnsi="Verdana" w:eastAsia="Calibri" w:cs="Times New Roman"/>
                <w:bCs/>
                <w:sz w:val="20"/>
                <w:szCs w:val="20"/>
                <w:lang w:val="bg-BG"/>
              </w:rPr>
              <w:t>3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 г. пред ПС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173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Годишна отчетност на цялостната политика по БДП за 202</w:t>
            </w:r>
            <w:r>
              <w:rPr>
                <w:rFonts w:hint="default" w:ascii="Verdana" w:hAnsi="Verdana" w:eastAsia="Calibri" w:cs="Calibri"/>
                <w:sz w:val="20"/>
                <w:szCs w:val="20"/>
                <w:lang w:val="bg-BG"/>
              </w:rPr>
              <w:t>3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after="0" w:line="240" w:lineRule="auto"/>
              <w:rPr>
                <w:rFonts w:ascii="Verdana" w:hAnsi="Verdana" w:eastAsia="Calibri" w:cs="Calibri"/>
                <w:sz w:val="8"/>
                <w:szCs w:val="8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Годишен доклад по 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Плана за действие за БДП за 202</w:t>
            </w:r>
            <w:r>
              <w:rPr>
                <w:rFonts w:hint="default" w:ascii="Verdana" w:hAnsi="Verdana" w:eastAsia="Calibri" w:cs="Times New Roman"/>
                <w:bCs/>
                <w:sz w:val="20"/>
                <w:szCs w:val="20"/>
                <w:lang w:val="bg-BG"/>
              </w:rPr>
              <w:t>3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 г.  за изпълнени мерки за БДП.</w:t>
            </w: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Срок: 15 февруари 202</w:t>
            </w:r>
            <w:r>
              <w:rPr>
                <w:rFonts w:hint="default" w:ascii="Verdana" w:hAnsi="Verdana" w:eastAsia="Calibri" w:cs="Calibri"/>
                <w:sz w:val="20"/>
                <w:szCs w:val="20"/>
                <w:lang w:val="bg-BG"/>
              </w:rPr>
              <w:t>4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г.</w:t>
            </w: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4"/>
                <w:szCs w:val="4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Verdana" w:hAnsi="Verdana" w:eastAsia="Calibri" w:cs="Calibri"/>
                <w:sz w:val="8"/>
                <w:szCs w:val="8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Учители на групи</w:t>
            </w: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Разработване на годишен план-програма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за БДП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на ДГ.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3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Годишна плановост на мерки по БДП на ниво ДГ 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Директор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Щаб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Актуализиран план – програма по БДП</w:t>
            </w: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Срок: ежегодно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ind w:right="29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Годишна план-програма, предоставена от Директора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72" w:hRule="atLeast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1.1.3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Изпълнение на годишни мерки за БДП на ниво ДГ.</w:t>
            </w: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  <w:p>
            <w:pPr>
              <w:spacing w:after="0" w:line="240" w:lineRule="auto"/>
              <w:rPr>
                <w:rFonts w:ascii="Verdana" w:hAnsi="Verdana" w:eastAsia="Calibri" w:cs="Times New Roman"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3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Годишна отчетност на ДГ.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Край на учебната година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ind w:right="29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Доклад за годишното изпълнение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16" w:hRule="atLeast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Планиране и финансово осигуряване на мерки по БДП в рамките на бюджета на ДГ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Планово и финансово обезпечаване мерките на ниво ДГ.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80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Директор</w:t>
            </w:r>
          </w:p>
          <w:p>
            <w:pPr>
              <w:spacing w:before="80" w:after="80" w:line="240" w:lineRule="auto"/>
              <w:ind w:right="80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ЗАС</w:t>
            </w:r>
          </w:p>
          <w:p>
            <w:pPr>
              <w:spacing w:before="80" w:after="80" w:line="240" w:lineRule="auto"/>
              <w:ind w:right="80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Предвиждане на устойчиво финансиране на мерките по БДП.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Срок: постоянен</w:t>
            </w:r>
          </w:p>
          <w:p>
            <w:pPr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ind w:right="17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Бюджетен разчет.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1.2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3907" w:type="dxa"/>
            <w:gridSpan w:val="6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Цел: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184" w:hRule="atLeast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1.2.1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Координация на действията на регионалните управления на образованието за вземане на съвместни решения и прилагане на общи практики в областта на БДП.</w:t>
            </w:r>
          </w:p>
          <w:p>
            <w:pPr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33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Консенсус и обединени усилия за ефективно изпълнение на политиката по БДП.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33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Директор</w:t>
            </w:r>
          </w:p>
          <w:p>
            <w:pPr>
              <w:spacing w:before="80" w:after="80" w:line="240" w:lineRule="auto"/>
              <w:ind w:right="33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РУО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Съвместни консенсусни решения.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Кореспонденция между институциите в системата на предучилищното и училищното образование.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1.5</w:t>
            </w:r>
          </w:p>
        </w:tc>
        <w:tc>
          <w:tcPr>
            <w:tcW w:w="13890" w:type="dxa"/>
            <w:gridSpan w:val="5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Цел:</w:t>
            </w:r>
          </w:p>
          <w:p>
            <w:pPr>
              <w:spacing w:before="80" w:after="80" w:line="240" w:lineRule="auto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1.5.1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28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Прилагане на единна комуникационна стратегия по БДП.</w:t>
            </w:r>
            <w:r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Провеждане на целенасочена комуникационна и медийна политика.</w:t>
            </w:r>
          </w:p>
          <w:p>
            <w:pPr>
              <w:spacing w:before="80" w:after="80" w:line="240" w:lineRule="auto"/>
              <w:ind w:right="78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78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МОН, РУО, ДГ, училища 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Активна медийна политика.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Официална интернет страница на МОН – www.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en-US"/>
              </w:rPr>
              <w:t>mon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en-US"/>
              </w:rPr>
              <w:t>bg</w:t>
            </w:r>
          </w:p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Официални страници на РУО,  ДГ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5" w:type="dxa"/>
            <w:gridSpan w:val="7"/>
            <w:shd w:val="clear" w:color="auto" w:fill="F1F1F1" w:themeFill="background1" w:themeFillShade="F2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ТЕМАТИЧНО НАПРАВЛЕНИЕ 2: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 xml:space="preserve">: </w:t>
            </w:r>
            <w:r>
              <w:rPr>
                <w:rFonts w:ascii="Verdana" w:hAnsi="Verdana" w:eastAsia="Calibri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8"/>
                <w:szCs w:val="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Цел:</w:t>
            </w:r>
          </w:p>
          <w:p>
            <w:pPr>
              <w:spacing w:before="80" w:after="80" w:line="240" w:lineRule="auto"/>
              <w:ind w:right="42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2.1.1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>Оптимизирано обучение на децата по БДП в ДГ:</w:t>
            </w:r>
          </w:p>
          <w:p>
            <w:pPr>
              <w:pStyle w:val="35"/>
              <w:numPr>
                <w:ilvl w:val="0"/>
                <w:numId w:val="2"/>
              </w:numPr>
              <w:spacing w:before="80" w:after="80" w:line="240" w:lineRule="auto"/>
              <w:ind w:left="468" w:right="72"/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>
            <w:pPr>
              <w:spacing w:before="80" w:after="80" w:line="240" w:lineRule="auto"/>
              <w:ind w:left="108" w:right="72"/>
              <w:rPr>
                <w:rFonts w:ascii="Verdana" w:hAnsi="Verdana" w:eastAsia="Calibri" w:cs="Calibri"/>
                <w:bCs/>
                <w:sz w:val="8"/>
                <w:szCs w:val="8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40" w:lineRule="auto"/>
              <w:ind w:left="468" w:right="72"/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>
            <w:pPr>
              <w:spacing w:before="80" w:after="80" w:line="240" w:lineRule="auto"/>
              <w:ind w:left="96" w:right="72"/>
              <w:rPr>
                <w:rFonts w:ascii="Verdana" w:hAnsi="Verdana" w:eastAsia="Calibri" w:cs="Calibri"/>
                <w:bCs/>
                <w:sz w:val="8"/>
                <w:szCs w:val="8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40" w:lineRule="auto"/>
              <w:ind w:left="456" w:right="72"/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>определяне на конкретни образователни цели като минимални изисквания за обучение по БДП в ДГ.</w:t>
            </w:r>
          </w:p>
          <w:p>
            <w:pPr>
              <w:spacing w:before="80" w:after="80" w:line="240" w:lineRule="auto"/>
              <w:ind w:left="456" w:right="72"/>
              <w:rPr>
                <w:rFonts w:ascii="Verdana" w:hAnsi="Verdana" w:eastAsia="Calibri" w:cs="Calibri"/>
                <w:bCs/>
                <w:sz w:val="6"/>
                <w:szCs w:val="6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40" w:lineRule="auto"/>
              <w:ind w:left="456" w:right="72"/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>интегриране на темите по БДП в темите от учебното съдържание по различните образователни направления.</w:t>
            </w:r>
          </w:p>
          <w:p>
            <w:pPr>
              <w:pStyle w:val="35"/>
              <w:spacing w:after="0" w:line="240" w:lineRule="auto"/>
              <w:rPr>
                <w:rFonts w:ascii="Verdana" w:hAnsi="Verdana" w:eastAsia="Calibri" w:cs="Calibri"/>
                <w:bCs/>
                <w:sz w:val="8"/>
                <w:szCs w:val="8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40" w:lineRule="auto"/>
              <w:ind w:left="456"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използване на </w:t>
            </w: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>учебни материали и подходи, адаптирани както към възрастта на децата , така и към духа на времето;</w:t>
            </w:r>
          </w:p>
          <w:p>
            <w:pPr>
              <w:pStyle w:val="35"/>
              <w:spacing w:after="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59" w:lineRule="auto"/>
              <w:ind w:left="456" w:right="72"/>
              <w:rPr>
                <w:rFonts w:ascii="Verdana" w:hAnsi="Verdana" w:eastAsia="Calibri" w:cs="Calibri"/>
                <w:sz w:val="20"/>
                <w:szCs w:val="20"/>
                <w:lang w:val="ru-RU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>
            <w:pPr>
              <w:pStyle w:val="35"/>
              <w:spacing w:after="0" w:line="240" w:lineRule="auto"/>
              <w:rPr>
                <w:rFonts w:ascii="Verdana" w:hAnsi="Verdana" w:eastAsia="Calibri" w:cs="Calibri"/>
                <w:sz w:val="8"/>
                <w:szCs w:val="8"/>
                <w:lang w:val="ru-RU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59" w:lineRule="auto"/>
              <w:ind w:left="456" w:right="72" w:hanging="284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практическа насоченост на обучаващите ситуации - да се провеждат не само в занималнята,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движение.</w:t>
            </w:r>
          </w:p>
          <w:p>
            <w:pPr>
              <w:pStyle w:val="35"/>
              <w:spacing w:after="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pStyle w:val="35"/>
              <w:numPr>
                <w:ilvl w:val="0"/>
                <w:numId w:val="2"/>
              </w:numPr>
              <w:spacing w:before="80" w:after="80" w:line="259" w:lineRule="auto"/>
              <w:ind w:left="456" w:right="72" w:hanging="284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lang w:val="bg-BG"/>
              </w:rPr>
            </w:pPr>
          </w:p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>Подобрено управление на дейностите за възпитание и обучение на децата  по БДП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</w:t>
            </w:r>
          </w:p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Подготвени деца в ДГ.</w:t>
            </w:r>
          </w:p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Изпълнени мерки за подобряване</w:t>
            </w: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 xml:space="preserve"> обучението на децата  по БДП.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3065" w:hRule="atLeast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39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Повишаване квалификацията на педагогическите специалисти в ДГ във връзка с обучението по БДП. 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Подготвени педагогически специалисти в областта на БДП.</w:t>
            </w:r>
          </w:p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Заимстване на добри европейски практики.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Изпълнени мерки за подобряване</w:t>
            </w:r>
            <w:r>
              <w:rPr>
                <w:rFonts w:ascii="Verdana" w:hAnsi="Verdana" w:eastAsia="Calibri" w:cs="Calibri"/>
                <w:bCs/>
                <w:sz w:val="20"/>
                <w:szCs w:val="20"/>
                <w:lang w:val="bg-BG"/>
              </w:rPr>
              <w:t xml:space="preserve"> квалификацията на специалистите по БДП в ДГ.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2.1.3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39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Организиране и провеждане на  извънкласни инициативи по БДП за деца в ДГ.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40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Подкрепа за творческите изяви на децата по темата за БДП.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Изпълнени извънкласни 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инициативи по БДП за деца в ДГ.</w:t>
            </w:r>
          </w:p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Ограничаване на рисковете от ПТП при осъществяване на организиран превоз на деца, свързан с учебна и/или извънучебна дейност в ДГ.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 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Усъвършенстване на контрола за безопасен превоз на децата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79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ДГ</w:t>
            </w:r>
          </w:p>
          <w:p>
            <w:pPr>
              <w:spacing w:before="80" w:after="80" w:line="240" w:lineRule="auto"/>
              <w:ind w:right="79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Изпълнени мерки за 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ограничаване на рисковете от ПТП при осъществяване на организиран превоз на деца.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190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Провеждане на кампании на институциите в областта на БДП, насочени към децата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</w:p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ДГ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Изпълнени кампанийни инициативи</w:t>
            </w: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 в областта на БДП, насочени към деца и ученици.  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 xml:space="preserve"> годишния доклад за изпълнение на политиката по БДП.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/>
                <w:bCs/>
                <w:sz w:val="20"/>
                <w:szCs w:val="20"/>
                <w:lang w:val="bg-BG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FEF2CC" w:themeFill="accent4" w:themeFillTint="33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Цел: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 xml:space="preserve">Развитие на социално-отговорна организационна култура за БДП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2.4.1</w:t>
            </w:r>
          </w:p>
        </w:tc>
        <w:tc>
          <w:tcPr>
            <w:tcW w:w="3969" w:type="dxa"/>
            <w:shd w:val="clear" w:color="auto" w:fill="auto"/>
          </w:tcPr>
          <w:p>
            <w:pPr>
              <w:spacing w:before="80" w:after="80" w:line="240" w:lineRule="auto"/>
              <w:ind w:right="28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Прилагане на комплекс от мерки по БДП спрямо работещите в ДГ.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shd w:val="clear" w:color="auto" w:fill="auto"/>
          </w:tcPr>
          <w:p>
            <w:pPr>
              <w:spacing w:before="80" w:after="80" w:line="240" w:lineRule="auto"/>
              <w:ind w:right="7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Предпазване на  работещите в ДГ от ПТП при служебното им взаимодействие с пътната система. </w:t>
            </w:r>
          </w:p>
        </w:tc>
        <w:tc>
          <w:tcPr>
            <w:tcW w:w="1984" w:type="dxa"/>
            <w:shd w:val="clear" w:color="auto" w:fill="auto"/>
          </w:tcPr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>Функциониращи системи от мерки по БДП в ДГ.</w:t>
            </w:r>
          </w:p>
          <w:p>
            <w:pPr>
              <w:spacing w:before="80" w:after="80" w:line="240" w:lineRule="auto"/>
              <w:ind w:right="-141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hAnsi="Verdana" w:eastAsia="Calibri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before="80" w:after="80" w:line="240" w:lineRule="auto"/>
              <w:ind w:right="182"/>
              <w:rPr>
                <w:rFonts w:ascii="Verdana" w:hAnsi="Verdana" w:eastAsia="Calibri" w:cs="Calibri"/>
                <w:sz w:val="20"/>
                <w:szCs w:val="20"/>
                <w:lang w:val="bg-BG"/>
              </w:rPr>
            </w:pPr>
            <w:r>
              <w:rPr>
                <w:rFonts w:ascii="Verdana" w:hAnsi="Verdana" w:eastAsia="Calibri" w:cs="Times New Roman"/>
                <w:bCs/>
                <w:sz w:val="20"/>
                <w:szCs w:val="20"/>
                <w:lang w:val="bg-BG"/>
              </w:rPr>
              <w:t>годишния доклад за изпълнение на политиката по БДП.</w:t>
            </w:r>
          </w:p>
        </w:tc>
      </w:tr>
    </w:tbl>
    <w:p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>
      <w:footerReference r:id="rId5" w:type="default"/>
      <w:pgSz w:w="15840" w:h="12240" w:orient="landscape"/>
      <w:pgMar w:top="993" w:right="1417" w:bottom="141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ontserrat">
    <w:altName w:val="Arial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60632902"/>
      <w:docPartObj>
        <w:docPartGallery w:val="autotext"/>
      </w:docPartObj>
    </w:sdtPr>
    <w:sdtContent>
      <w:p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E64249"/>
    <w:multiLevelType w:val="multilevel"/>
    <w:tmpl w:val="33E64249"/>
    <w:lvl w:ilvl="0" w:tentative="0">
      <w:start w:val="1"/>
      <w:numFmt w:val="bullet"/>
      <w:pStyle w:val="43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nsid w:val="69B33E95"/>
    <w:multiLevelType w:val="multilevel"/>
    <w:tmpl w:val="69B33E95"/>
    <w:lvl w:ilvl="0" w:tentative="0">
      <w:start w:val="31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Calibr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0CE9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8C5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1F37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436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088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4D15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33B6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2736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D719A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6E88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  <w:rsid w:val="26760D12"/>
    <w:rsid w:val="2B53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240" w:after="0"/>
      <w:outlineLvl w:val="0"/>
    </w:pPr>
    <w:rPr>
      <w:rFonts w:ascii="Century Gothic" w:hAnsi="Century Gothic" w:eastAsia="Times New Roman" w:cs="Times New Roman"/>
      <w:b/>
      <w:bCs/>
      <w:color w:val="1D8B76"/>
      <w:sz w:val="72"/>
      <w:szCs w:val="2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1"/>
    </w:pPr>
    <w:rPr>
      <w:rFonts w:ascii="Century Gothic" w:hAnsi="Century Gothic" w:eastAsia="Times New Roman" w:cs="Times New Roman"/>
      <w:b/>
      <w:bCs/>
      <w:color w:val="FFFFFF"/>
      <w:sz w:val="24"/>
      <w:szCs w:val="26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2"/>
    </w:pPr>
    <w:rPr>
      <w:rFonts w:ascii="Century Gothic" w:hAnsi="Century Gothic" w:eastAsia="Times New Roman" w:cs="Times New Roman"/>
      <w:b/>
      <w:bCs/>
      <w:color w:val="FFFFFF"/>
      <w:sz w:val="24"/>
    </w:rPr>
  </w:style>
  <w:style w:type="paragraph" w:styleId="5">
    <w:name w:val="heading 5"/>
    <w:basedOn w:val="1"/>
    <w:next w:val="1"/>
    <w:link w:val="61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5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">
    <w:name w:val="annotation reference"/>
    <w:basedOn w:val="6"/>
    <w:semiHidden/>
    <w:unhideWhenUsed/>
    <w:uiPriority w:val="99"/>
    <w:rPr>
      <w:sz w:val="16"/>
      <w:szCs w:val="16"/>
    </w:rPr>
  </w:style>
  <w:style w:type="paragraph" w:styleId="10">
    <w:name w:val="annotation text"/>
    <w:basedOn w:val="1"/>
    <w:link w:val="58"/>
    <w:unhideWhenUsed/>
    <w:uiPriority w:val="99"/>
    <w:pPr>
      <w:spacing w:line="240" w:lineRule="auto"/>
    </w:pPr>
    <w:rPr>
      <w:sz w:val="20"/>
      <w:szCs w:val="20"/>
    </w:rPr>
  </w:style>
  <w:style w:type="paragraph" w:styleId="11">
    <w:name w:val="annotation subject"/>
    <w:basedOn w:val="10"/>
    <w:next w:val="10"/>
    <w:link w:val="41"/>
    <w:semiHidden/>
    <w:unhideWhenUsed/>
    <w:qFormat/>
    <w:uiPriority w:val="99"/>
    <w:rPr>
      <w:b/>
      <w:bCs/>
    </w:rPr>
  </w:style>
  <w:style w:type="paragraph" w:styleId="12">
    <w:name w:val="footer"/>
    <w:basedOn w:val="1"/>
    <w:link w:val="57"/>
    <w:unhideWhenUsed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styleId="13">
    <w:name w:val="footnote reference"/>
    <w:unhideWhenUsed/>
    <w:qFormat/>
    <w:uiPriority w:val="0"/>
    <w:rPr>
      <w:vertAlign w:val="superscript"/>
    </w:rPr>
  </w:style>
  <w:style w:type="paragraph" w:styleId="14">
    <w:name w:val="footnote text"/>
    <w:basedOn w:val="1"/>
    <w:link w:val="36"/>
    <w:unhideWhenUsed/>
    <w:qFormat/>
    <w:uiPriority w:val="99"/>
    <w:pPr>
      <w:spacing w:after="200" w:line="276" w:lineRule="auto"/>
    </w:pPr>
    <w:rPr>
      <w:rFonts w:ascii="Calibri" w:hAnsi="Calibri" w:eastAsia="Calibri" w:cs="Times New Roman"/>
      <w:sz w:val="20"/>
      <w:szCs w:val="20"/>
      <w:lang w:val="zh-CN"/>
    </w:rPr>
  </w:style>
  <w:style w:type="paragraph" w:styleId="15">
    <w:name w:val="header"/>
    <w:basedOn w:val="1"/>
    <w:link w:val="56"/>
    <w:unhideWhenUsed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styleId="16">
    <w:name w:val="Hyperlink"/>
    <w:basedOn w:val="6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spacing w:after="192" w:line="240" w:lineRule="auto"/>
    </w:pPr>
    <w:rPr>
      <w:rFonts w:ascii="Times New Roman" w:hAnsi="Times New Roman" w:eastAsia="Times New Roman" w:cs="Times New Roman"/>
      <w:sz w:val="24"/>
      <w:szCs w:val="24"/>
      <w:lang w:val="bg-BG" w:eastAsia="bg-BG"/>
    </w:rPr>
  </w:style>
  <w:style w:type="character" w:styleId="18">
    <w:name w:val="Strong"/>
    <w:basedOn w:val="6"/>
    <w:qFormat/>
    <w:uiPriority w:val="22"/>
    <w:rPr>
      <w:b/>
      <w:bCs/>
    </w:rPr>
  </w:style>
  <w:style w:type="table" w:styleId="19">
    <w:name w:val="Table Grid"/>
    <w:basedOn w:val="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next w:val="1"/>
    <w:link w:val="44"/>
    <w:qFormat/>
    <w:uiPriority w:val="10"/>
    <w:pPr>
      <w:spacing w:after="0" w:line="240" w:lineRule="auto"/>
      <w:contextualSpacing/>
    </w:pPr>
    <w:rPr>
      <w:rFonts w:ascii="Montserrat" w:hAnsi="Montserrat" w:eastAsia="Times New Roman" w:cs="Times New Roman"/>
      <w:spacing w:val="-10"/>
      <w:kern w:val="28"/>
      <w:sz w:val="24"/>
      <w:szCs w:val="56"/>
    </w:rPr>
  </w:style>
  <w:style w:type="paragraph" w:customStyle="1" w:styleId="21">
    <w:name w:val="Heading 11"/>
    <w:basedOn w:val="1"/>
    <w:next w:val="1"/>
    <w:qFormat/>
    <w:uiPriority w:val="9"/>
    <w:pPr>
      <w:keepNext/>
      <w:keepLines/>
      <w:spacing w:after="0" w:line="240" w:lineRule="auto"/>
      <w:outlineLvl w:val="0"/>
    </w:pPr>
    <w:rPr>
      <w:rFonts w:ascii="Century Gothic" w:hAnsi="Century Gothic" w:eastAsia="Times New Roman" w:cs="Times New Roman"/>
      <w:b/>
      <w:bCs/>
      <w:color w:val="1D8B76"/>
      <w:sz w:val="72"/>
      <w:szCs w:val="28"/>
      <w:lang w:val="bg-BG"/>
    </w:rPr>
  </w:style>
  <w:style w:type="paragraph" w:customStyle="1" w:styleId="22">
    <w:name w:val="Heading 21"/>
    <w:basedOn w:val="1"/>
    <w:next w:val="1"/>
    <w:unhideWhenUsed/>
    <w:qFormat/>
    <w:uiPriority w:val="9"/>
    <w:pPr>
      <w:keepNext/>
      <w:keepLines/>
      <w:spacing w:after="0" w:line="276" w:lineRule="auto"/>
      <w:ind w:firstLine="709"/>
      <w:outlineLvl w:val="1"/>
    </w:pPr>
    <w:rPr>
      <w:rFonts w:ascii="Century Gothic" w:hAnsi="Century Gothic" w:eastAsia="Times New Roman" w:cs="Times New Roman"/>
      <w:b/>
      <w:bCs/>
      <w:color w:val="FFFFFF"/>
      <w:sz w:val="24"/>
      <w:szCs w:val="26"/>
      <w:lang w:val="bg-BG"/>
    </w:rPr>
  </w:style>
  <w:style w:type="paragraph" w:customStyle="1" w:styleId="23">
    <w:name w:val="Heading 31"/>
    <w:basedOn w:val="1"/>
    <w:next w:val="1"/>
    <w:unhideWhenUsed/>
    <w:qFormat/>
    <w:uiPriority w:val="9"/>
    <w:pPr>
      <w:keepNext/>
      <w:keepLines/>
      <w:spacing w:after="0" w:line="276" w:lineRule="auto"/>
      <w:ind w:firstLine="709"/>
      <w:outlineLvl w:val="2"/>
    </w:pPr>
    <w:rPr>
      <w:rFonts w:ascii="Century Gothic" w:hAnsi="Century Gothic" w:eastAsia="Times New Roman" w:cs="Times New Roman"/>
      <w:b/>
      <w:bCs/>
      <w:color w:val="FFFFFF"/>
      <w:sz w:val="24"/>
      <w:lang w:val="bg-BG"/>
    </w:rPr>
  </w:style>
  <w:style w:type="character" w:customStyle="1" w:styleId="24">
    <w:name w:val="Заглавие 1 Знак"/>
    <w:basedOn w:val="6"/>
    <w:link w:val="2"/>
    <w:qFormat/>
    <w:uiPriority w:val="9"/>
    <w:rPr>
      <w:rFonts w:ascii="Century Gothic" w:hAnsi="Century Gothic" w:eastAsia="Times New Roman" w:cs="Times New Roman"/>
      <w:b/>
      <w:bCs/>
      <w:color w:val="1D8B76"/>
      <w:sz w:val="72"/>
      <w:szCs w:val="28"/>
    </w:rPr>
  </w:style>
  <w:style w:type="character" w:customStyle="1" w:styleId="25">
    <w:name w:val="Заглавие 2 Знак"/>
    <w:basedOn w:val="6"/>
    <w:link w:val="3"/>
    <w:qFormat/>
    <w:uiPriority w:val="9"/>
    <w:rPr>
      <w:rFonts w:ascii="Century Gothic" w:hAnsi="Century Gothic" w:eastAsia="Times New Roman" w:cs="Times New Roman"/>
      <w:b/>
      <w:bCs/>
      <w:color w:val="FFFFFF"/>
      <w:sz w:val="24"/>
      <w:szCs w:val="26"/>
    </w:rPr>
  </w:style>
  <w:style w:type="character" w:customStyle="1" w:styleId="26">
    <w:name w:val="Заглавие 3 Знак"/>
    <w:basedOn w:val="6"/>
    <w:link w:val="4"/>
    <w:qFormat/>
    <w:uiPriority w:val="9"/>
    <w:rPr>
      <w:rFonts w:ascii="Century Gothic" w:hAnsi="Century Gothic" w:eastAsia="Times New Roman" w:cs="Times New Roman"/>
      <w:b/>
      <w:bCs/>
      <w:color w:val="FFFFFF"/>
      <w:sz w:val="24"/>
    </w:rPr>
  </w:style>
  <w:style w:type="paragraph" w:customStyle="1" w:styleId="27">
    <w:name w:val="Balloon Text1"/>
    <w:basedOn w:val="1"/>
    <w:next w:val="8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8">
    <w:name w:val="Balloon Text Char"/>
    <w:basedOn w:val="6"/>
    <w:link w:val="2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9">
    <w:name w:val="Header1"/>
    <w:basedOn w:val="1"/>
    <w:next w:val="15"/>
    <w:link w:val="3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30">
    <w:name w:val="Header Char"/>
    <w:basedOn w:val="6"/>
    <w:link w:val="29"/>
    <w:qFormat/>
    <w:uiPriority w:val="99"/>
  </w:style>
  <w:style w:type="paragraph" w:customStyle="1" w:styleId="31">
    <w:name w:val="Footer1"/>
    <w:basedOn w:val="1"/>
    <w:next w:val="12"/>
    <w:link w:val="3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32">
    <w:name w:val="Footer Char"/>
    <w:basedOn w:val="6"/>
    <w:link w:val="31"/>
    <w:qFormat/>
    <w:uiPriority w:val="99"/>
  </w:style>
  <w:style w:type="character" w:customStyle="1" w:styleId="33">
    <w:name w:val="Hyperlink1"/>
    <w:basedOn w:val="6"/>
    <w:unhideWhenUsed/>
    <w:uiPriority w:val="99"/>
    <w:rPr>
      <w:color w:val="0000FF"/>
      <w:u w:val="single"/>
    </w:rPr>
  </w:style>
  <w:style w:type="paragraph" w:customStyle="1" w:styleId="34">
    <w:name w:val="List Paragraph1"/>
    <w:basedOn w:val="1"/>
    <w:next w:val="35"/>
    <w:qFormat/>
    <w:uiPriority w:val="34"/>
    <w:pPr>
      <w:spacing w:after="200" w:line="276" w:lineRule="auto"/>
      <w:ind w:left="720"/>
      <w:contextualSpacing/>
    </w:pPr>
    <w:rPr>
      <w:lang w:val="bg-BG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Текст под линия Знак"/>
    <w:basedOn w:val="6"/>
    <w:link w:val="14"/>
    <w:uiPriority w:val="99"/>
    <w:rPr>
      <w:rFonts w:ascii="Calibri" w:hAnsi="Calibri" w:eastAsia="Calibri" w:cs="Times New Roman"/>
      <w:sz w:val="20"/>
      <w:szCs w:val="20"/>
      <w:lang w:val="zh-CN"/>
    </w:rPr>
  </w:style>
  <w:style w:type="table" w:customStyle="1" w:styleId="37">
    <w:name w:val="Table Grid1"/>
    <w:basedOn w:val="7"/>
    <w:uiPriority w:val="59"/>
    <w:pPr>
      <w:spacing w:after="0" w:line="240" w:lineRule="auto"/>
    </w:pPr>
    <w:rPr>
      <w:lang w:val="bg-BG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8">
    <w:name w:val="Comment Text1"/>
    <w:basedOn w:val="1"/>
    <w:next w:val="10"/>
    <w:link w:val="39"/>
    <w:semiHidden/>
    <w:unhideWhenUsed/>
    <w:qFormat/>
    <w:uiPriority w:val="99"/>
    <w:pPr>
      <w:spacing w:after="200" w:line="240" w:lineRule="auto"/>
    </w:pPr>
    <w:rPr>
      <w:sz w:val="20"/>
      <w:szCs w:val="20"/>
    </w:rPr>
  </w:style>
  <w:style w:type="character" w:customStyle="1" w:styleId="39">
    <w:name w:val="Comment Text Char"/>
    <w:basedOn w:val="6"/>
    <w:link w:val="38"/>
    <w:semiHidden/>
    <w:qFormat/>
    <w:uiPriority w:val="99"/>
    <w:rPr>
      <w:sz w:val="20"/>
      <w:szCs w:val="20"/>
    </w:rPr>
  </w:style>
  <w:style w:type="paragraph" w:customStyle="1" w:styleId="40">
    <w:name w:val="Comment Subject1"/>
    <w:basedOn w:val="10"/>
    <w:next w:val="10"/>
    <w:semiHidden/>
    <w:unhideWhenUsed/>
    <w:uiPriority w:val="99"/>
    <w:pPr>
      <w:spacing w:after="200"/>
    </w:pPr>
    <w:rPr>
      <w:b/>
      <w:bCs/>
      <w:lang w:val="bg-BG"/>
    </w:rPr>
  </w:style>
  <w:style w:type="character" w:customStyle="1" w:styleId="41">
    <w:name w:val="Предмет на коментар Знак"/>
    <w:basedOn w:val="39"/>
    <w:link w:val="11"/>
    <w:semiHidden/>
    <w:qFormat/>
    <w:uiPriority w:val="99"/>
    <w:rPr>
      <w:b/>
      <w:bCs/>
      <w:sz w:val="20"/>
      <w:szCs w:val="20"/>
    </w:rPr>
  </w:style>
  <w:style w:type="character" w:customStyle="1" w:styleId="42">
    <w:name w:val="tlid-translation"/>
    <w:basedOn w:val="6"/>
    <w:qFormat/>
    <w:uiPriority w:val="0"/>
  </w:style>
  <w:style w:type="paragraph" w:customStyle="1" w:styleId="43">
    <w:name w:val="Точки1"/>
    <w:basedOn w:val="1"/>
    <w:next w:val="1"/>
    <w:qFormat/>
    <w:uiPriority w:val="10"/>
    <w:pPr>
      <w:numPr>
        <w:ilvl w:val="0"/>
        <w:numId w:val="1"/>
      </w:numPr>
      <w:spacing w:after="0" w:line="240" w:lineRule="auto"/>
      <w:ind w:left="360"/>
      <w:contextualSpacing/>
      <w:jc w:val="both"/>
    </w:pPr>
    <w:rPr>
      <w:rFonts w:ascii="Montserrat" w:hAnsi="Montserrat" w:eastAsia="Times New Roman" w:cs="Times New Roman"/>
      <w:spacing w:val="-10"/>
      <w:kern w:val="28"/>
      <w:sz w:val="24"/>
      <w:szCs w:val="56"/>
      <w:lang w:val="bg-BG"/>
    </w:rPr>
  </w:style>
  <w:style w:type="character" w:customStyle="1" w:styleId="44">
    <w:name w:val="Заглавие Знак"/>
    <w:basedOn w:val="6"/>
    <w:link w:val="20"/>
    <w:uiPriority w:val="10"/>
    <w:rPr>
      <w:rFonts w:ascii="Montserrat" w:hAnsi="Montserrat" w:eastAsia="Times New Roman" w:cs="Times New Roman"/>
      <w:spacing w:val="-10"/>
      <w:kern w:val="28"/>
      <w:sz w:val="24"/>
      <w:szCs w:val="56"/>
    </w:rPr>
  </w:style>
  <w:style w:type="paragraph" w:customStyle="1" w:styleId="45">
    <w:name w:val="Normal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bg-BG" w:eastAsia="bg-BG"/>
    </w:rPr>
  </w:style>
  <w:style w:type="paragraph" w:customStyle="1" w:styleId="46">
    <w:name w:val="TOC Heading1"/>
    <w:basedOn w:val="2"/>
    <w:next w:val="1"/>
    <w:unhideWhenUsed/>
    <w:qFormat/>
    <w:uiPriority w:val="39"/>
  </w:style>
  <w:style w:type="paragraph" w:customStyle="1" w:styleId="47">
    <w:name w:val="TOC 11"/>
    <w:basedOn w:val="1"/>
    <w:next w:val="1"/>
    <w:unhideWhenUsed/>
    <w:qFormat/>
    <w:uiPriority w:val="39"/>
    <w:pPr>
      <w:spacing w:after="100" w:line="276" w:lineRule="auto"/>
    </w:pPr>
    <w:rPr>
      <w:lang w:val="bg-BG"/>
    </w:rPr>
  </w:style>
  <w:style w:type="paragraph" w:customStyle="1" w:styleId="48">
    <w:name w:val="TOC 21"/>
    <w:basedOn w:val="1"/>
    <w:next w:val="1"/>
    <w:unhideWhenUsed/>
    <w:qFormat/>
    <w:uiPriority w:val="39"/>
    <w:pPr>
      <w:spacing w:after="100" w:line="276" w:lineRule="auto"/>
      <w:ind w:left="220"/>
    </w:pPr>
    <w:rPr>
      <w:lang w:val="bg-BG"/>
    </w:rPr>
  </w:style>
  <w:style w:type="paragraph" w:customStyle="1" w:styleId="49">
    <w:name w:val="TOC 31"/>
    <w:basedOn w:val="1"/>
    <w:next w:val="1"/>
    <w:unhideWhenUsed/>
    <w:uiPriority w:val="39"/>
    <w:pPr>
      <w:spacing w:after="100" w:line="276" w:lineRule="auto"/>
      <w:ind w:left="440"/>
    </w:pPr>
    <w:rPr>
      <w:lang w:val="bg-BG"/>
    </w:rPr>
  </w:style>
  <w:style w:type="character" w:customStyle="1" w:styleId="50">
    <w:name w:val="text_exposed_show"/>
    <w:basedOn w:val="6"/>
    <w:qFormat/>
    <w:uiPriority w:val="0"/>
  </w:style>
  <w:style w:type="character" w:customStyle="1" w:styleId="51">
    <w:name w:val="Шрифт на абзаца по подразбиране1"/>
    <w:uiPriority w:val="0"/>
  </w:style>
  <w:style w:type="character" w:customStyle="1" w:styleId="52">
    <w:name w:val="Heading 1 Char1"/>
    <w:basedOn w:val="6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53">
    <w:name w:val="Heading 2 Char1"/>
    <w:basedOn w:val="6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54">
    <w:name w:val="Heading 3 Char1"/>
    <w:basedOn w:val="6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55">
    <w:name w:val="Изнесен текст Знак"/>
    <w:basedOn w:val="6"/>
    <w:link w:val="8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56">
    <w:name w:val="Горен колонтитул Знак"/>
    <w:basedOn w:val="6"/>
    <w:link w:val="15"/>
    <w:uiPriority w:val="99"/>
  </w:style>
  <w:style w:type="character" w:customStyle="1" w:styleId="57">
    <w:name w:val="Долен колонтитул Знак"/>
    <w:basedOn w:val="6"/>
    <w:link w:val="12"/>
    <w:qFormat/>
    <w:uiPriority w:val="99"/>
  </w:style>
  <w:style w:type="character" w:customStyle="1" w:styleId="58">
    <w:name w:val="Текст на коментар Знак"/>
    <w:basedOn w:val="6"/>
    <w:link w:val="10"/>
    <w:qFormat/>
    <w:uiPriority w:val="99"/>
    <w:rPr>
      <w:sz w:val="20"/>
      <w:szCs w:val="20"/>
    </w:rPr>
  </w:style>
  <w:style w:type="character" w:customStyle="1" w:styleId="59">
    <w:name w:val="Comment Subject Char1"/>
    <w:basedOn w:val="58"/>
    <w:semiHidden/>
    <w:qFormat/>
    <w:uiPriority w:val="99"/>
    <w:rPr>
      <w:b/>
      <w:bCs/>
      <w:sz w:val="20"/>
      <w:szCs w:val="20"/>
    </w:rPr>
  </w:style>
  <w:style w:type="character" w:customStyle="1" w:styleId="60">
    <w:name w:val="Title Char1"/>
    <w:basedOn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61">
    <w:name w:val="Заглавие 5 Знак"/>
    <w:basedOn w:val="6"/>
    <w:link w:val="5"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table" w:customStyle="1" w:styleId="62">
    <w:name w:val="Table Grid2"/>
    <w:basedOn w:val="7"/>
    <w:uiPriority w:val="39"/>
    <w:pPr>
      <w:spacing w:after="0" w:line="240" w:lineRule="auto"/>
    </w:pPr>
    <w:rPr>
      <w:lang w:val="bg-BG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Table Grid3"/>
    <w:basedOn w:val="7"/>
    <w:qFormat/>
    <w:uiPriority w:val="39"/>
    <w:pPr>
      <w:spacing w:after="0" w:line="240" w:lineRule="auto"/>
    </w:pPr>
    <w:rPr>
      <w:lang w:val="bg-BG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1A931-BE73-4316-ACAF-6A2B7F942C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SARS</Company>
  <Pages>7</Pages>
  <Words>1253</Words>
  <Characters>7143</Characters>
  <Lines>59</Lines>
  <Paragraphs>16</Paragraphs>
  <TotalTime>15</TotalTime>
  <ScaleCrop>false</ScaleCrop>
  <LinksUpToDate>false</LinksUpToDate>
  <CharactersWithSpaces>8380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2021-03-31T09:31:00Z</dcterms:created>
  <dc:creator>Marta Petrova</dc:creator>
  <cp:lastModifiedBy>user</cp:lastModifiedBy>
  <cp:lastPrinted>2024-02-05T07:53:00Z</cp:lastPrinted>
  <dcterms:modified xsi:type="dcterms:W3CDTF">2024-02-05T08:08:00Z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85A3F536DEB44C208679031F8975BFF8_13</vt:lpwstr>
  </property>
</Properties>
</file>