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569141">
      <w:pPr>
        <w:rPr>
          <w:rFonts w:ascii="Calibri" w:hAnsi="Calibri" w:eastAsia="Times New Roman" w:cs="Times New Roman"/>
          <w:b/>
          <w:lang w:val="bg-BG" w:eastAsia="bg-BG"/>
        </w:rPr>
      </w:pPr>
      <w:bookmarkStart w:id="0" w:name="_GoBack"/>
      <w:bookmarkEnd w:id="0"/>
      <w:r>
        <w:rPr>
          <w:rFonts w:ascii="Calibri" w:hAnsi="Calibri" w:eastAsia="Times New Roman" w:cs="Times New Roman"/>
          <w:b/>
          <w:lang w:val="bg-BG"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-789305</wp:posOffset>
            </wp:positionH>
            <wp:positionV relativeFrom="paragraph">
              <wp:posOffset>-399415</wp:posOffset>
            </wp:positionV>
            <wp:extent cx="1047750" cy="942975"/>
            <wp:effectExtent l="0" t="0" r="0" b="9525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942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hAnsi="Calibri" w:eastAsia="Times New Roman" w:cs="Times New Roman"/>
          <w:b/>
          <w:lang w:val="bg-BG" w:eastAsia="bg-BG"/>
        </w:rPr>
        <w:t xml:space="preserve">           ДЕТСКА ГРАДИНА „ПИНОКИО”, С.САМОВОДЕНЕ,ОБЩИНА ВЕЛИКО ТЪРНОВО</w:t>
      </w:r>
    </w:p>
    <w:p w14:paraId="4BF49565">
      <w:pPr>
        <w:rPr>
          <w:rFonts w:ascii="Calibri" w:hAnsi="Calibri" w:eastAsia="Times New Roman" w:cs="Times New Roman"/>
          <w:b/>
          <w:lang w:val="bg-BG" w:eastAsia="bg-BG"/>
        </w:rPr>
      </w:pPr>
    </w:p>
    <w:p w14:paraId="6A53F962">
      <w:pPr>
        <w:outlineLvl w:val="0"/>
        <w:rPr>
          <w:rFonts w:ascii="Times New Roman" w:hAnsi="Times New Roman" w:eastAsia="Times New Roman" w:cs="Times New Roman"/>
          <w:b/>
          <w:i/>
          <w:sz w:val="24"/>
          <w:szCs w:val="24"/>
          <w:lang w:val="bg-BG" w:eastAsia="bg-BG"/>
        </w:rPr>
      </w:pPr>
      <w:r>
        <w:rPr>
          <w:rFonts w:ascii="Times New Roman" w:hAnsi="Times New Roman" w:eastAsia="Times New Roman" w:cs="Times New Roman"/>
          <w:b/>
          <w:i/>
          <w:sz w:val="24"/>
          <w:szCs w:val="24"/>
          <w:lang w:val="bg-BG" w:eastAsia="bg-BG"/>
        </w:rPr>
        <w:t>УТВЪРЖДАВАМ :</w:t>
      </w:r>
    </w:p>
    <w:p w14:paraId="25D9FA22">
      <w:pPr>
        <w:outlineLvl w:val="0"/>
        <w:rPr>
          <w:rFonts w:ascii="Times New Roman" w:hAnsi="Times New Roman" w:eastAsia="Times New Roman" w:cs="Times New Roman"/>
          <w:b/>
          <w:i/>
          <w:sz w:val="28"/>
          <w:szCs w:val="28"/>
          <w:lang w:val="bg-BG" w:eastAsia="bg-BG"/>
        </w:rPr>
      </w:pPr>
      <w:r>
        <w:rPr>
          <w:rFonts w:ascii="Times New Roman" w:hAnsi="Times New Roman" w:eastAsia="Times New Roman" w:cs="Times New Roman"/>
          <w:b/>
          <w:i/>
          <w:sz w:val="28"/>
          <w:szCs w:val="28"/>
          <w:lang w:val="bg-BG" w:eastAsia="bg-BG"/>
        </w:rPr>
        <w:t>Директор:</w:t>
      </w:r>
    </w:p>
    <w:p w14:paraId="4792E1F7">
      <w:pPr>
        <w:rPr>
          <w:rFonts w:ascii="Times New Roman" w:hAnsi="Times New Roman" w:eastAsia="Times New Roman" w:cs="Times New Roman"/>
          <w:b/>
          <w:i/>
          <w:sz w:val="28"/>
          <w:szCs w:val="28"/>
          <w:lang w:val="bg-BG" w:eastAsia="bg-BG"/>
        </w:rPr>
      </w:pPr>
      <w:r>
        <w:rPr>
          <w:rFonts w:ascii="Times New Roman" w:hAnsi="Times New Roman" w:eastAsia="Times New Roman" w:cs="Times New Roman"/>
          <w:b/>
          <w:i/>
          <w:sz w:val="28"/>
          <w:szCs w:val="28"/>
          <w:lang w:val="bg-BG" w:eastAsia="bg-BG"/>
        </w:rPr>
        <w:t>/ Албена Генчева /</w:t>
      </w:r>
    </w:p>
    <w:p w14:paraId="021923E8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hAnsi="Times New Roman" w:eastAsia="Times New Roman" w:cs="Times New Roman"/>
          <w:b/>
          <w:bCs/>
          <w:sz w:val="24"/>
          <w:szCs w:val="20"/>
          <w:lang w:val="bg-BG"/>
        </w:rPr>
      </w:pPr>
    </w:p>
    <w:p w14:paraId="77B2D49B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hAnsi="Times New Roman" w:eastAsia="Times New Roman" w:cs="Times New Roman"/>
          <w:b/>
          <w:bCs/>
          <w:sz w:val="24"/>
          <w:szCs w:val="20"/>
          <w:lang w:val="bg-BG"/>
        </w:rPr>
      </w:pPr>
    </w:p>
    <w:p w14:paraId="46935C3B">
      <w:pPr>
        <w:rPr>
          <w:rFonts w:ascii="Calibri" w:hAnsi="Calibri" w:eastAsia="Times New Roman" w:cs="Times New Roman"/>
          <w:b/>
          <w:sz w:val="44"/>
          <w:u w:val="single"/>
          <w:lang w:val="ru-RU" w:eastAsia="bg-BG"/>
        </w:rPr>
      </w:pPr>
    </w:p>
    <w:p w14:paraId="4402A6E3">
      <w:pPr>
        <w:rPr>
          <w:rFonts w:ascii="Calibri" w:hAnsi="Calibri" w:eastAsia="Times New Roman" w:cs="Times New Roman"/>
          <w:b/>
          <w:sz w:val="44"/>
          <w:u w:val="single"/>
          <w:lang w:val="ru-RU" w:eastAsia="bg-BG"/>
        </w:rPr>
      </w:pPr>
    </w:p>
    <w:p w14:paraId="459DF1B6">
      <w:pPr>
        <w:jc w:val="center"/>
        <w:outlineLvl w:val="0"/>
        <w:rPr>
          <w:rFonts w:ascii="Times New Roman" w:hAnsi="Times New Roman" w:eastAsia="Times New Roman" w:cs="Times New Roman"/>
          <w:b/>
          <w:i/>
          <w:sz w:val="28"/>
          <w:szCs w:val="28"/>
          <w:lang w:val="ru-RU" w:eastAsia="bg-BG"/>
        </w:rPr>
      </w:pPr>
      <w:r>
        <w:rPr>
          <w:rFonts w:ascii="Times New Roman" w:hAnsi="Times New Roman" w:eastAsia="Times New Roman" w:cs="Times New Roman"/>
          <w:b/>
          <w:i/>
          <w:sz w:val="28"/>
          <w:szCs w:val="28"/>
          <w:lang w:val="ru-RU" w:eastAsia="bg-BG"/>
        </w:rPr>
        <w:t>ГОДИШЕН ПЛАН</w:t>
      </w:r>
    </w:p>
    <w:p w14:paraId="2115F89F">
      <w:pPr>
        <w:jc w:val="center"/>
        <w:outlineLvl w:val="0"/>
        <w:rPr>
          <w:rFonts w:ascii="Times New Roman" w:hAnsi="Times New Roman" w:eastAsia="Times New Roman" w:cs="Times New Roman"/>
          <w:b/>
          <w:i/>
          <w:sz w:val="28"/>
          <w:szCs w:val="28"/>
          <w:lang w:val="ru-RU" w:eastAsia="bg-BG"/>
        </w:rPr>
      </w:pPr>
      <w:r>
        <w:rPr>
          <w:rFonts w:ascii="Times New Roman" w:hAnsi="Times New Roman" w:eastAsia="Times New Roman" w:cs="Times New Roman"/>
          <w:b/>
          <w:i/>
          <w:sz w:val="28"/>
          <w:szCs w:val="28"/>
          <w:lang w:val="ru-RU" w:eastAsia="bg-BG"/>
        </w:rPr>
        <w:t>ЗА КВАЛИФИКАЦИОННА ДЕЙНОСТ</w:t>
      </w:r>
    </w:p>
    <w:p w14:paraId="0FA0AD8A">
      <w:pPr>
        <w:jc w:val="center"/>
        <w:rPr>
          <w:rFonts w:ascii="Times New Roman" w:hAnsi="Times New Roman" w:eastAsia="Times New Roman" w:cs="Times New Roman"/>
          <w:b/>
          <w:i/>
          <w:sz w:val="28"/>
          <w:szCs w:val="28"/>
          <w:lang w:val="ru-RU" w:eastAsia="bg-BG"/>
        </w:rPr>
      </w:pPr>
      <w:r>
        <w:rPr>
          <w:rFonts w:ascii="Times New Roman" w:hAnsi="Times New Roman" w:eastAsia="Times New Roman" w:cs="Times New Roman"/>
          <w:b/>
          <w:i/>
          <w:sz w:val="28"/>
          <w:szCs w:val="28"/>
          <w:lang w:val="ru-RU" w:eastAsia="bg-BG"/>
        </w:rPr>
        <w:t>НА</w:t>
      </w:r>
    </w:p>
    <w:p w14:paraId="305DC93E">
      <w:pPr>
        <w:jc w:val="center"/>
        <w:rPr>
          <w:rFonts w:ascii="Times New Roman" w:hAnsi="Times New Roman" w:eastAsia="Times New Roman" w:cs="Times New Roman"/>
          <w:b/>
          <w:i/>
          <w:sz w:val="28"/>
          <w:szCs w:val="28"/>
          <w:lang w:val="ru-RU" w:eastAsia="bg-BG"/>
        </w:rPr>
      </w:pPr>
      <w:r>
        <w:rPr>
          <w:rFonts w:ascii="Times New Roman" w:hAnsi="Times New Roman" w:eastAsia="Times New Roman" w:cs="Times New Roman"/>
          <w:b/>
          <w:i/>
          <w:sz w:val="28"/>
          <w:szCs w:val="28"/>
          <w:lang w:val="ru-RU" w:eastAsia="bg-BG"/>
        </w:rPr>
        <w:t>ДЕТСКА ГРАДИНА  «ПИНОКИО»</w:t>
      </w:r>
    </w:p>
    <w:p w14:paraId="3D14D0EE">
      <w:pPr>
        <w:jc w:val="center"/>
        <w:rPr>
          <w:rFonts w:ascii="Times New Roman" w:hAnsi="Times New Roman" w:eastAsia="Times New Roman" w:cs="Times New Roman"/>
          <w:b/>
          <w:i/>
          <w:sz w:val="28"/>
          <w:szCs w:val="28"/>
          <w:lang w:val="bg-BG" w:eastAsia="bg-BG"/>
        </w:rPr>
      </w:pPr>
      <w:r>
        <w:rPr>
          <w:rFonts w:ascii="Times New Roman" w:hAnsi="Times New Roman" w:eastAsia="Times New Roman" w:cs="Times New Roman"/>
          <w:b/>
          <w:i/>
          <w:sz w:val="28"/>
          <w:szCs w:val="28"/>
          <w:lang w:val="bg-BG" w:eastAsia="bg-BG"/>
        </w:rPr>
        <w:t>С.САМОВОДЕНЕ,  ОБЩИНА ВЕЛИКО ТЪРНОВО,</w:t>
      </w:r>
    </w:p>
    <w:p w14:paraId="640EF274">
      <w:pPr>
        <w:jc w:val="center"/>
        <w:rPr>
          <w:rFonts w:ascii="Times New Roman" w:hAnsi="Times New Roman" w:eastAsia="Times New Roman" w:cs="Times New Roman"/>
          <w:b/>
          <w:i/>
          <w:sz w:val="28"/>
          <w:szCs w:val="28"/>
          <w:lang w:val="ru-RU" w:eastAsia="bg-BG"/>
        </w:rPr>
      </w:pPr>
      <w:r>
        <w:rPr>
          <w:rFonts w:ascii="Times New Roman" w:hAnsi="Times New Roman" w:eastAsia="Times New Roman" w:cs="Times New Roman"/>
          <w:b/>
          <w:i/>
          <w:sz w:val="28"/>
          <w:szCs w:val="28"/>
          <w:lang w:val="bg-BG" w:eastAsia="bg-BG"/>
        </w:rPr>
        <w:t xml:space="preserve">  ОБЛАСТ </w:t>
      </w:r>
      <w:r>
        <w:rPr>
          <w:rFonts w:hint="default" w:ascii="Times New Roman" w:hAnsi="Times New Roman" w:eastAsia="Times New Roman" w:cs="Times New Roman"/>
          <w:b/>
          <w:i/>
          <w:sz w:val="28"/>
          <w:szCs w:val="28"/>
          <w:lang w:val="en-US" w:eastAsia="bg-BG"/>
        </w:rPr>
        <w:t xml:space="preserve"> </w:t>
      </w:r>
      <w:r>
        <w:rPr>
          <w:rFonts w:ascii="Times New Roman" w:hAnsi="Times New Roman" w:eastAsia="Times New Roman" w:cs="Times New Roman"/>
          <w:b/>
          <w:i/>
          <w:sz w:val="28"/>
          <w:szCs w:val="28"/>
          <w:lang w:val="bg-BG" w:eastAsia="bg-BG"/>
        </w:rPr>
        <w:t>ВЕЛИКОТЪРНОВСКА</w:t>
      </w:r>
    </w:p>
    <w:p w14:paraId="7F8FDCE2">
      <w:pPr>
        <w:jc w:val="center"/>
        <w:outlineLvl w:val="0"/>
        <w:rPr>
          <w:rFonts w:ascii="Times New Roman" w:hAnsi="Times New Roman" w:eastAsia="Times New Roman" w:cs="Times New Roman"/>
          <w:b/>
          <w:i/>
          <w:sz w:val="28"/>
          <w:szCs w:val="28"/>
          <w:lang w:val="ru-RU" w:eastAsia="bg-BG"/>
        </w:rPr>
      </w:pPr>
      <w:r>
        <w:rPr>
          <w:rFonts w:ascii="Times New Roman" w:hAnsi="Times New Roman" w:eastAsia="Times New Roman" w:cs="Times New Roman"/>
          <w:b/>
          <w:i/>
          <w:sz w:val="28"/>
          <w:szCs w:val="28"/>
          <w:lang w:val="ru-RU" w:eastAsia="bg-BG"/>
        </w:rPr>
        <w:t>ЗА УЧЕБНАТА 202</w:t>
      </w:r>
      <w:r>
        <w:rPr>
          <w:rFonts w:hint="default" w:ascii="Times New Roman" w:hAnsi="Times New Roman" w:eastAsia="Times New Roman" w:cs="Times New Roman"/>
          <w:b/>
          <w:i/>
          <w:sz w:val="28"/>
          <w:szCs w:val="28"/>
          <w:lang w:val="en-US" w:eastAsia="bg-BG"/>
        </w:rPr>
        <w:t>6</w:t>
      </w:r>
      <w:r>
        <w:rPr>
          <w:rFonts w:ascii="Times New Roman" w:hAnsi="Times New Roman" w:eastAsia="Times New Roman" w:cs="Times New Roman"/>
          <w:b/>
          <w:i/>
          <w:sz w:val="28"/>
          <w:szCs w:val="28"/>
          <w:lang w:val="ru-RU" w:eastAsia="bg-BG"/>
        </w:rPr>
        <w:t xml:space="preserve"> / 202</w:t>
      </w:r>
      <w:r>
        <w:rPr>
          <w:rFonts w:hint="default" w:ascii="Times New Roman" w:hAnsi="Times New Roman" w:eastAsia="Times New Roman" w:cs="Times New Roman"/>
          <w:b/>
          <w:i/>
          <w:sz w:val="28"/>
          <w:szCs w:val="28"/>
          <w:lang w:val="en-US" w:eastAsia="bg-BG"/>
        </w:rPr>
        <w:t>7</w:t>
      </w:r>
      <w:r>
        <w:rPr>
          <w:rFonts w:ascii="Times New Roman" w:hAnsi="Times New Roman" w:eastAsia="Times New Roman" w:cs="Times New Roman"/>
          <w:b/>
          <w:i/>
          <w:sz w:val="28"/>
          <w:szCs w:val="28"/>
          <w:lang w:val="ru-RU" w:eastAsia="bg-BG"/>
        </w:rPr>
        <w:t xml:space="preserve"> ГОДИНА</w:t>
      </w:r>
    </w:p>
    <w:p w14:paraId="62345912">
      <w:pPr>
        <w:jc w:val="center"/>
        <w:rPr>
          <w:rFonts w:ascii="Calibri" w:hAnsi="Calibri" w:eastAsia="Times New Roman" w:cs="Times New Roman"/>
          <w:b/>
          <w:lang w:val="ru-RU" w:eastAsia="bg-BG"/>
        </w:rPr>
      </w:pPr>
    </w:p>
    <w:p w14:paraId="7051007E">
      <w:pPr>
        <w:jc w:val="center"/>
        <w:rPr>
          <w:rFonts w:ascii="Calibri" w:hAnsi="Calibri" w:eastAsia="Times New Roman" w:cs="Times New Roman"/>
          <w:b/>
          <w:sz w:val="36"/>
          <w:lang w:val="ru-RU" w:eastAsia="bg-BG"/>
        </w:rPr>
      </w:pPr>
    </w:p>
    <w:p w14:paraId="22503309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hAnsi="Times New Roman" w:eastAsia="Times New Roman" w:cs="Times New Roman"/>
          <w:b/>
          <w:bCs/>
          <w:sz w:val="24"/>
          <w:szCs w:val="20"/>
          <w:lang w:val="bg-BG"/>
        </w:rPr>
      </w:pPr>
    </w:p>
    <w:p w14:paraId="5E4E81CA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hAnsi="Times New Roman" w:eastAsia="Times New Roman" w:cs="Times New Roman"/>
          <w:b/>
          <w:bCs/>
          <w:sz w:val="24"/>
          <w:szCs w:val="20"/>
          <w:lang w:val="bg-BG"/>
        </w:rPr>
      </w:pPr>
    </w:p>
    <w:p w14:paraId="44FB28A2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hAnsi="Times New Roman" w:eastAsia="Times New Roman" w:cs="Times New Roman"/>
          <w:b/>
          <w:bCs/>
          <w:sz w:val="24"/>
          <w:szCs w:val="20"/>
          <w:lang w:val="bg-BG"/>
        </w:rPr>
      </w:pPr>
    </w:p>
    <w:p w14:paraId="77A483A2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hAnsi="Times New Roman" w:eastAsia="Times New Roman" w:cs="Times New Roman"/>
          <w:b/>
          <w:bCs/>
          <w:sz w:val="24"/>
          <w:szCs w:val="20"/>
          <w:lang w:val="bg-BG"/>
        </w:rPr>
      </w:pPr>
    </w:p>
    <w:p w14:paraId="336CEEDA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hAnsi="Times New Roman" w:eastAsia="Times New Roman" w:cs="Times New Roman"/>
          <w:b/>
          <w:bCs/>
          <w:sz w:val="24"/>
          <w:szCs w:val="20"/>
          <w:lang w:val="bg-BG"/>
        </w:rPr>
      </w:pPr>
    </w:p>
    <w:p w14:paraId="0DD324B6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Cs/>
          <w:sz w:val="24"/>
          <w:szCs w:val="24"/>
          <w:lang w:val="bg-BG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val="bg-BG"/>
        </w:rPr>
        <w:t xml:space="preserve">Годишният план за повишаване на квалификацията на педагогическите специалисти, работещи в ДГ „Пинокио”  </w:t>
      </w:r>
      <w:r>
        <w:rPr>
          <w:rFonts w:ascii="Times New Roman" w:hAnsi="Times New Roman" w:eastAsia="Times New Roman" w:cs="Times New Roman"/>
          <w:bCs/>
          <w:i/>
          <w:sz w:val="24"/>
          <w:szCs w:val="24"/>
          <w:lang w:val="ru-RU"/>
        </w:rPr>
        <w:t xml:space="preserve"> </w:t>
      </w:r>
      <w:r>
        <w:rPr>
          <w:rFonts w:ascii="Times New Roman" w:hAnsi="Times New Roman" w:eastAsia="Times New Roman" w:cs="Times New Roman"/>
          <w:bCs/>
          <w:sz w:val="24"/>
          <w:szCs w:val="24"/>
          <w:lang w:val="bg-BG"/>
        </w:rPr>
        <w:t xml:space="preserve">е приет с решение № </w:t>
      </w:r>
      <w:r>
        <w:rPr>
          <w:rFonts w:hint="default" w:ascii="Times New Roman" w:hAnsi="Times New Roman" w:eastAsia="Times New Roman" w:cs="Times New Roman"/>
          <w:bCs/>
          <w:sz w:val="24"/>
          <w:szCs w:val="24"/>
          <w:lang w:val="bg-BG"/>
        </w:rPr>
        <w:t>1</w:t>
      </w:r>
      <w:r>
        <w:rPr>
          <w:rFonts w:ascii="Times New Roman" w:hAnsi="Times New Roman" w:eastAsia="Times New Roman" w:cs="Times New Roman"/>
          <w:bCs/>
          <w:sz w:val="24"/>
          <w:szCs w:val="24"/>
          <w:lang w:val="bg-BG"/>
        </w:rPr>
        <w:t xml:space="preserve"> на педагогическия съвет – Протокол № </w:t>
      </w:r>
      <w:r>
        <w:rPr>
          <w:rFonts w:hint="default" w:ascii="Times New Roman" w:hAnsi="Times New Roman" w:eastAsia="Times New Roman" w:cs="Times New Roman"/>
          <w:bCs/>
          <w:sz w:val="24"/>
          <w:szCs w:val="24"/>
          <w:lang w:val="bg-BG"/>
        </w:rPr>
        <w:t>5</w:t>
      </w:r>
      <w:r>
        <w:rPr>
          <w:rFonts w:ascii="Times New Roman" w:hAnsi="Times New Roman" w:eastAsia="Times New Roman" w:cs="Times New Roman"/>
          <w:bCs/>
          <w:sz w:val="24"/>
          <w:szCs w:val="24"/>
          <w:lang w:val="bg-BG"/>
        </w:rPr>
        <w:t>/ 1</w:t>
      </w:r>
      <w:r>
        <w:rPr>
          <w:rFonts w:hint="default" w:ascii="Times New Roman" w:hAnsi="Times New Roman" w:eastAsia="Times New Roman" w:cs="Times New Roman"/>
          <w:bCs/>
          <w:sz w:val="24"/>
          <w:szCs w:val="24"/>
          <w:lang w:val="bg-BG"/>
        </w:rPr>
        <w:t>0</w:t>
      </w:r>
      <w:r>
        <w:rPr>
          <w:rFonts w:ascii="Times New Roman" w:hAnsi="Times New Roman" w:eastAsia="Times New Roman" w:cs="Times New Roman"/>
          <w:bCs/>
          <w:sz w:val="24"/>
          <w:szCs w:val="24"/>
          <w:lang w:val="bg-BG"/>
        </w:rPr>
        <w:t>.09.202</w:t>
      </w:r>
      <w:r>
        <w:rPr>
          <w:rFonts w:hint="default" w:ascii="Times New Roman" w:hAnsi="Times New Roman" w:eastAsia="Times New Roman" w:cs="Times New Roman"/>
          <w:bCs/>
          <w:sz w:val="24"/>
          <w:szCs w:val="24"/>
          <w:lang w:val="bg-BG"/>
        </w:rPr>
        <w:t>6</w:t>
      </w:r>
      <w:r>
        <w:rPr>
          <w:rFonts w:ascii="Times New Roman" w:hAnsi="Times New Roman" w:eastAsia="Times New Roman" w:cs="Times New Roman"/>
          <w:bCs/>
          <w:sz w:val="24"/>
          <w:szCs w:val="24"/>
          <w:lang w:val="bg-BG"/>
        </w:rPr>
        <w:t xml:space="preserve"> г.</w:t>
      </w:r>
      <w:r>
        <w:rPr>
          <w:rFonts w:ascii="Times New Roman" w:hAnsi="Times New Roman" w:eastAsia="Times New Roman" w:cs="Times New Roman"/>
          <w:bCs/>
          <w:sz w:val="24"/>
          <w:szCs w:val="24"/>
          <w:lang w:val="ru-RU"/>
        </w:rPr>
        <w:t xml:space="preserve"> </w:t>
      </w:r>
      <w:r>
        <w:rPr>
          <w:rFonts w:ascii="Times New Roman" w:hAnsi="Times New Roman" w:eastAsia="Times New Roman" w:cs="Times New Roman"/>
          <w:bCs/>
          <w:sz w:val="24"/>
          <w:szCs w:val="24"/>
          <w:lang w:val="bg-BG"/>
        </w:rPr>
        <w:t xml:space="preserve">и утвърден със заповед на директора № </w:t>
      </w:r>
      <w:r>
        <w:rPr>
          <w:rFonts w:hint="default" w:ascii="Times New Roman" w:hAnsi="Times New Roman" w:eastAsia="Times New Roman" w:cs="Times New Roman"/>
          <w:bCs/>
          <w:sz w:val="24"/>
          <w:szCs w:val="24"/>
          <w:lang w:val="bg-BG"/>
        </w:rPr>
        <w:t xml:space="preserve">72 </w:t>
      </w:r>
      <w:r>
        <w:rPr>
          <w:rFonts w:ascii="Times New Roman" w:hAnsi="Times New Roman" w:eastAsia="Times New Roman" w:cs="Times New Roman"/>
          <w:bCs/>
          <w:sz w:val="24"/>
          <w:szCs w:val="24"/>
          <w:lang w:val="bg-BG"/>
        </w:rPr>
        <w:t xml:space="preserve"> / 1</w:t>
      </w:r>
      <w:r>
        <w:rPr>
          <w:rFonts w:hint="default" w:ascii="Times New Roman" w:hAnsi="Times New Roman" w:eastAsia="Times New Roman" w:cs="Times New Roman"/>
          <w:bCs/>
          <w:sz w:val="24"/>
          <w:szCs w:val="24"/>
          <w:lang w:val="bg-BG"/>
        </w:rPr>
        <w:t>0</w:t>
      </w:r>
      <w:r>
        <w:rPr>
          <w:rFonts w:ascii="Times New Roman" w:hAnsi="Times New Roman" w:eastAsia="Times New Roman" w:cs="Times New Roman"/>
          <w:bCs/>
          <w:sz w:val="24"/>
          <w:szCs w:val="24"/>
          <w:lang w:val="bg-BG"/>
        </w:rPr>
        <w:t>.09. 202</w:t>
      </w:r>
      <w:r>
        <w:rPr>
          <w:rFonts w:hint="default" w:ascii="Times New Roman" w:hAnsi="Times New Roman" w:eastAsia="Times New Roman" w:cs="Times New Roman"/>
          <w:bCs/>
          <w:sz w:val="24"/>
          <w:szCs w:val="24"/>
          <w:lang w:val="bg-BG"/>
        </w:rPr>
        <w:t>6</w:t>
      </w:r>
      <w:r>
        <w:rPr>
          <w:rFonts w:ascii="Times New Roman" w:hAnsi="Times New Roman" w:eastAsia="Times New Roman" w:cs="Times New Roman"/>
          <w:bCs/>
          <w:sz w:val="24"/>
          <w:szCs w:val="24"/>
          <w:lang w:val="bg-BG"/>
        </w:rPr>
        <w:t xml:space="preserve"> г</w:t>
      </w:r>
    </w:p>
    <w:p w14:paraId="28A08D78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Cs/>
          <w:sz w:val="24"/>
          <w:szCs w:val="24"/>
          <w:lang w:val="bg-BG"/>
        </w:rPr>
      </w:pPr>
    </w:p>
    <w:p w14:paraId="5C97B04A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Cs/>
          <w:sz w:val="24"/>
          <w:szCs w:val="24"/>
          <w:lang w:val="bg-BG"/>
        </w:rPr>
      </w:pPr>
    </w:p>
    <w:p w14:paraId="5E975C74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/>
          <w:bCs/>
          <w:sz w:val="24"/>
          <w:szCs w:val="20"/>
          <w:lang w:val="bg-BG"/>
        </w:rPr>
      </w:pPr>
    </w:p>
    <w:p w14:paraId="65EF604D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/>
          <w:bCs/>
          <w:sz w:val="24"/>
          <w:szCs w:val="20"/>
          <w:lang w:val="bg-BG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0"/>
        </w:rPr>
        <w:t>I</w:t>
      </w:r>
      <w:r>
        <w:rPr>
          <w:rFonts w:ascii="Times New Roman" w:hAnsi="Times New Roman" w:eastAsia="Times New Roman" w:cs="Times New Roman"/>
          <w:b/>
          <w:bCs/>
          <w:sz w:val="24"/>
          <w:szCs w:val="20"/>
          <w:lang w:val="bg-BG"/>
        </w:rPr>
        <w:t xml:space="preserve"> АНАЛИЗ НА КВАЛИФИКАЦИОННАТА ДЕЙНОСТ В ДГ”ПИНОКИО”. ДЕФИЦИТИ ОТ КВАЛИФИКАЦИЯ НА ПЕДАГОГИЧЕСКИТЕ И</w:t>
      </w:r>
      <w:r>
        <w:rPr>
          <w:rFonts w:hint="default" w:ascii="Times New Roman" w:hAnsi="Times New Roman" w:eastAsia="Times New Roman" w:cs="Times New Roman"/>
          <w:b/>
          <w:bCs/>
          <w:sz w:val="24"/>
          <w:szCs w:val="20"/>
          <w:lang w:val="bg-BG"/>
        </w:rPr>
        <w:t xml:space="preserve"> НЕПЕДАГОГИЧЕСКИ  </w:t>
      </w:r>
      <w:r>
        <w:rPr>
          <w:rFonts w:ascii="Times New Roman" w:hAnsi="Times New Roman" w:eastAsia="Times New Roman" w:cs="Times New Roman"/>
          <w:b/>
          <w:bCs/>
          <w:sz w:val="24"/>
          <w:szCs w:val="20"/>
          <w:lang w:val="bg-BG"/>
        </w:rPr>
        <w:t>СПЕЦИАЛИСТИ.</w:t>
      </w:r>
    </w:p>
    <w:p w14:paraId="5BDC6825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</w:pP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ab/>
      </w: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>От детската градина се очаква модерно обучение, непрекъснато осъвременяване, богата и развиваща среда, добра подготовка на децата за училище, но всичко това се случва само при висока степен на професионализъм на учителите. Той се постига не само с много опит, а и с добра квалификационна дейност.</w:t>
      </w:r>
    </w:p>
    <w:p w14:paraId="03BE45FE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</w:pP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ab/>
      </w: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>През учебната 202</w:t>
      </w:r>
      <w:r>
        <w:rPr>
          <w:rFonts w:hint="default" w:ascii="Times New Roman" w:hAnsi="Times New Roman" w:eastAsia="Times New Roman" w:cs="Times New Roman"/>
          <w:bCs/>
          <w:sz w:val="24"/>
          <w:szCs w:val="20"/>
          <w:lang w:val="bg-BG"/>
        </w:rPr>
        <w:t>5</w:t>
      </w: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>/202 година в ДГ „Пинокио” са проведени следните планирани вътрешни квалификации на педагогическите кадри:</w:t>
      </w:r>
    </w:p>
    <w:p w14:paraId="034D8683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</w:pPr>
    </w:p>
    <w:p w14:paraId="0B8E2525">
      <w:pPr>
        <w:numPr>
          <w:ilvl w:val="0"/>
          <w:numId w:val="1"/>
        </w:numPr>
        <w:spacing w:before="0" w:after="0" w:line="240" w:lineRule="auto"/>
        <w:ind w:left="0" w:right="0"/>
        <w:rPr>
          <w:rFonts w:hint="default" w:ascii="Times New Roman" w:hAnsi="Times New Roman" w:eastAsia="Arial" w:cs="Times New Roman"/>
          <w:b/>
          <w:bCs/>
          <w:color w:val="252525"/>
          <w:sz w:val="24"/>
          <w:szCs w:val="24"/>
          <w:lang w:val="bg-BG"/>
        </w:rPr>
      </w:pPr>
      <w:r>
        <w:rPr>
          <w:rFonts w:hint="default" w:ascii="Times New Roman" w:hAnsi="Times New Roman" w:eastAsia="Arial" w:cs="Times New Roman"/>
          <w:b/>
          <w:bCs/>
          <w:color w:val="252525"/>
          <w:sz w:val="24"/>
          <w:szCs w:val="24"/>
          <w:lang w:val="bg-BG"/>
        </w:rPr>
        <w:t>“</w:t>
      </w:r>
      <w:r>
        <w:rPr>
          <w:rFonts w:hint="default" w:ascii="Times New Roman" w:hAnsi="Times New Roman" w:eastAsia="Arial" w:cs="Times New Roman"/>
          <w:b/>
          <w:bCs/>
          <w:color w:val="252525"/>
          <w:sz w:val="24"/>
          <w:szCs w:val="24"/>
        </w:rPr>
        <w:t xml:space="preserve"> Дигиталното дете – съвременни предизвикателства и педагогически решения в детската градина</w:t>
      </w:r>
      <w:r>
        <w:rPr>
          <w:rFonts w:hint="default" w:ascii="Times New Roman" w:hAnsi="Times New Roman" w:eastAsia="Arial" w:cs="Times New Roman"/>
          <w:b/>
          <w:bCs/>
          <w:color w:val="252525"/>
          <w:sz w:val="24"/>
          <w:szCs w:val="24"/>
          <w:lang w:val="bg-BG"/>
        </w:rPr>
        <w:t>”</w:t>
      </w:r>
    </w:p>
    <w:p w14:paraId="24304405">
      <w:pPr>
        <w:numPr>
          <w:ilvl w:val="0"/>
          <w:numId w:val="0"/>
        </w:numPr>
        <w:spacing w:before="0" w:after="0" w:line="240" w:lineRule="auto"/>
        <w:ind w:right="0" w:rightChars="0"/>
        <w:rPr>
          <w:rFonts w:hint="default" w:ascii="Times New Roman" w:hAnsi="Times New Roman" w:eastAsia="Arial" w:cs="Times New Roman"/>
          <w:b/>
          <w:bCs/>
          <w:color w:val="252525"/>
          <w:sz w:val="24"/>
          <w:szCs w:val="24"/>
          <w:lang w:val="bg-BG"/>
        </w:rPr>
      </w:pPr>
    </w:p>
    <w:p w14:paraId="74582DFC">
      <w:pPr>
        <w:numPr>
          <w:ilvl w:val="0"/>
          <w:numId w:val="1"/>
        </w:numPr>
        <w:spacing w:before="0" w:after="0" w:line="240" w:lineRule="auto"/>
        <w:ind w:left="0" w:leftChars="0" w:right="0" w:firstLine="0" w:firstLineChars="0"/>
        <w:rPr>
          <w:rFonts w:hint="default" w:ascii="Times New Roman" w:hAnsi="Times New Roman" w:eastAsia="Arial" w:cs="Times New Roman"/>
          <w:b/>
          <w:bCs/>
          <w:color w:val="252525"/>
          <w:sz w:val="24"/>
          <w:szCs w:val="24"/>
          <w:lang w:val="bg-BG"/>
        </w:rPr>
      </w:pPr>
      <w:r>
        <w:rPr>
          <w:rFonts w:hint="default" w:ascii="Times New Roman" w:hAnsi="Times New Roman" w:eastAsia="Arial" w:cs="Times New Roman"/>
          <w:b/>
          <w:bCs/>
          <w:color w:val="252525"/>
          <w:sz w:val="24"/>
          <w:szCs w:val="24"/>
          <w:lang w:val="bg-BG"/>
        </w:rPr>
        <w:t>“</w:t>
      </w:r>
      <w:r>
        <w:rPr>
          <w:rFonts w:hint="default" w:ascii="Times New Roman" w:hAnsi="Times New Roman" w:eastAsia="Arial" w:cs="Times New Roman"/>
          <w:b/>
          <w:bCs/>
          <w:color w:val="252525"/>
          <w:sz w:val="24"/>
          <w:szCs w:val="24"/>
        </w:rPr>
        <w:t>Детската агресия и бурните емоции – педагогически подходи за овладяване в групова среда</w:t>
      </w:r>
      <w:r>
        <w:rPr>
          <w:rFonts w:hint="default" w:ascii="Times New Roman" w:hAnsi="Times New Roman" w:eastAsia="Arial" w:cs="Times New Roman"/>
          <w:b/>
          <w:bCs/>
          <w:color w:val="252525"/>
          <w:sz w:val="24"/>
          <w:szCs w:val="24"/>
          <w:lang w:val="bg-BG"/>
        </w:rPr>
        <w:t>”</w:t>
      </w:r>
    </w:p>
    <w:p w14:paraId="10552AEA">
      <w:pPr>
        <w:numPr>
          <w:ilvl w:val="0"/>
          <w:numId w:val="0"/>
        </w:numPr>
        <w:spacing w:before="0" w:after="0" w:line="240" w:lineRule="auto"/>
        <w:ind w:leftChars="0" w:right="0" w:rightChars="0"/>
        <w:rPr>
          <w:rFonts w:hint="default" w:ascii="Times New Roman" w:hAnsi="Times New Roman" w:eastAsia="Arial" w:cs="Times New Roman"/>
          <w:b/>
          <w:bCs/>
          <w:color w:val="252525"/>
          <w:sz w:val="24"/>
          <w:szCs w:val="24"/>
          <w:lang w:val="bg-BG"/>
        </w:rPr>
      </w:pPr>
    </w:p>
    <w:p w14:paraId="425B7B97">
      <w:pPr>
        <w:numPr>
          <w:ilvl w:val="0"/>
          <w:numId w:val="1"/>
        </w:numPr>
        <w:spacing w:before="0" w:after="0" w:line="240" w:lineRule="auto"/>
        <w:ind w:left="0" w:leftChars="0" w:right="0" w:firstLine="0" w:firstLineChars="0"/>
        <w:rPr>
          <w:rFonts w:hint="default" w:ascii="Times New Roman" w:hAnsi="Times New Roman" w:eastAsia="Arial" w:cs="Times New Roman"/>
          <w:b/>
          <w:bCs/>
          <w:color w:val="252525"/>
          <w:sz w:val="24"/>
          <w:szCs w:val="24"/>
          <w:lang w:val="bg-BG"/>
        </w:rPr>
      </w:pPr>
      <w:r>
        <w:rPr>
          <w:rFonts w:hint="default" w:ascii="Times New Roman" w:hAnsi="Times New Roman" w:eastAsia="Arial" w:cs="Times New Roman"/>
          <w:b/>
          <w:bCs/>
          <w:color w:val="252525"/>
          <w:sz w:val="24"/>
          <w:szCs w:val="24"/>
          <w:lang w:val="bg-BG"/>
        </w:rPr>
        <w:t>”</w:t>
      </w:r>
      <w:r>
        <w:rPr>
          <w:rFonts w:hint="default" w:ascii="Times New Roman" w:hAnsi="Times New Roman" w:eastAsia="Arial" w:cs="Times New Roman"/>
          <w:b/>
          <w:bCs/>
          <w:color w:val="252525"/>
          <w:sz w:val="24"/>
          <w:szCs w:val="24"/>
        </w:rPr>
        <w:t>Емоционалното възпитание – малките стъпки към изграждане на големи ценности</w:t>
      </w:r>
      <w:r>
        <w:rPr>
          <w:rFonts w:hint="default" w:ascii="Times New Roman" w:hAnsi="Times New Roman" w:eastAsia="Arial" w:cs="Times New Roman"/>
          <w:b/>
          <w:bCs/>
          <w:color w:val="252525"/>
          <w:sz w:val="24"/>
          <w:szCs w:val="24"/>
          <w:lang w:val="bg-BG"/>
        </w:rPr>
        <w:t>”</w:t>
      </w:r>
    </w:p>
    <w:p w14:paraId="79EF4DDB">
      <w:pPr>
        <w:numPr>
          <w:ilvl w:val="0"/>
          <w:numId w:val="0"/>
        </w:numPr>
        <w:spacing w:before="0" w:after="0" w:line="240" w:lineRule="auto"/>
        <w:ind w:leftChars="0" w:right="0" w:rightChars="0"/>
        <w:rPr>
          <w:rFonts w:hint="default" w:ascii="Times New Roman" w:hAnsi="Times New Roman" w:eastAsia="Arial" w:cs="Times New Roman"/>
          <w:b/>
          <w:bCs/>
          <w:color w:val="252525"/>
          <w:sz w:val="24"/>
          <w:szCs w:val="24"/>
          <w:lang w:val="bg-BG"/>
        </w:rPr>
      </w:pPr>
    </w:p>
    <w:p w14:paraId="429709B1">
      <w:pPr>
        <w:numPr>
          <w:ilvl w:val="0"/>
          <w:numId w:val="1"/>
        </w:numPr>
        <w:spacing w:before="0" w:after="0" w:line="240" w:lineRule="auto"/>
        <w:ind w:left="0" w:leftChars="0" w:right="0" w:firstLine="0" w:firstLineChars="0"/>
        <w:rPr>
          <w:rFonts w:hint="default" w:ascii="Times New Roman" w:hAnsi="Times New Roman" w:eastAsia="Arial" w:cs="Times New Roman"/>
          <w:b/>
          <w:bCs/>
          <w:color w:val="252525"/>
          <w:sz w:val="24"/>
          <w:szCs w:val="24"/>
          <w:lang w:val="bg-BG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bg-BG"/>
        </w:rPr>
        <w:t>“</w:t>
      </w:r>
      <w:r>
        <w:rPr>
          <w:rFonts w:hint="default" w:ascii="Times New Roman" w:hAnsi="Times New Roman" w:eastAsia="Arial" w:cs="Times New Roman"/>
          <w:b/>
          <w:bCs/>
          <w:color w:val="252525"/>
          <w:sz w:val="24"/>
          <w:szCs w:val="24"/>
        </w:rPr>
        <w:t>Екологичното възпитание в предучилищна възраст – подходи и практики</w:t>
      </w:r>
      <w:r>
        <w:rPr>
          <w:rFonts w:hint="default" w:ascii="Times New Roman" w:hAnsi="Times New Roman" w:eastAsia="Arial" w:cs="Times New Roman"/>
          <w:b/>
          <w:bCs/>
          <w:color w:val="252525"/>
          <w:sz w:val="24"/>
          <w:szCs w:val="24"/>
          <w:lang w:val="bg-BG"/>
        </w:rPr>
        <w:t>”</w:t>
      </w:r>
    </w:p>
    <w:p w14:paraId="32B6A6C9">
      <w:pPr>
        <w:numPr>
          <w:ilvl w:val="0"/>
          <w:numId w:val="0"/>
        </w:numPr>
        <w:spacing w:before="0" w:after="0" w:line="240" w:lineRule="auto"/>
        <w:ind w:leftChars="0" w:right="0" w:rightChars="0"/>
        <w:rPr>
          <w:rFonts w:hint="default" w:ascii="Times New Roman" w:hAnsi="Times New Roman" w:eastAsia="Arial" w:cs="Times New Roman"/>
          <w:b/>
          <w:bCs/>
          <w:color w:val="252525"/>
          <w:sz w:val="24"/>
          <w:szCs w:val="24"/>
          <w:lang w:val="bg-BG"/>
        </w:rPr>
      </w:pPr>
    </w:p>
    <w:p w14:paraId="1B09637E">
      <w:pPr>
        <w:numPr>
          <w:ilvl w:val="0"/>
          <w:numId w:val="1"/>
        </w:numPr>
        <w:spacing w:before="0" w:after="0" w:line="240" w:lineRule="auto"/>
        <w:ind w:left="0" w:leftChars="0" w:right="0" w:firstLine="0" w:firstLineChars="0"/>
        <w:rPr>
          <w:rFonts w:hint="default" w:ascii="Times New Roman" w:hAnsi="Times New Roman" w:eastAsia="Arial" w:cs="Times New Roman"/>
          <w:b/>
          <w:bCs/>
          <w:color w:val="252525"/>
          <w:sz w:val="24"/>
          <w:szCs w:val="24"/>
          <w:lang w:val="bg-BG"/>
        </w:rPr>
      </w:pPr>
      <w:r>
        <w:rPr>
          <w:rFonts w:hint="default" w:ascii="Times New Roman" w:hAnsi="Times New Roman" w:eastAsia="Arial" w:cs="Times New Roman"/>
          <w:b/>
          <w:bCs/>
          <w:color w:val="252525"/>
          <w:sz w:val="24"/>
          <w:szCs w:val="24"/>
          <w:lang w:val="bg-BG"/>
        </w:rPr>
        <w:t>“</w:t>
      </w:r>
      <w:r>
        <w:rPr>
          <w:rFonts w:hint="default" w:ascii="Times New Roman" w:hAnsi="Times New Roman" w:eastAsia="Arial" w:cs="Times New Roman"/>
          <w:b/>
          <w:bCs/>
          <w:color w:val="252525"/>
          <w:sz w:val="24"/>
          <w:szCs w:val="24"/>
        </w:rPr>
        <w:t>Ролята на ритуалите и малките навици в изграждането на устойчиви поведенчески модели при децата</w:t>
      </w:r>
      <w:r>
        <w:rPr>
          <w:rFonts w:hint="default" w:ascii="Times New Roman" w:hAnsi="Times New Roman" w:eastAsia="Arial" w:cs="Times New Roman"/>
          <w:b/>
          <w:bCs/>
          <w:color w:val="252525"/>
          <w:sz w:val="24"/>
          <w:szCs w:val="24"/>
          <w:lang w:val="bg-BG"/>
        </w:rPr>
        <w:t>”</w:t>
      </w:r>
    </w:p>
    <w:p w14:paraId="564C83A3">
      <w:pPr>
        <w:numPr>
          <w:ilvl w:val="0"/>
          <w:numId w:val="0"/>
        </w:numPr>
        <w:spacing w:before="0" w:after="0" w:line="240" w:lineRule="auto"/>
        <w:ind w:leftChars="0" w:right="0" w:rightChars="0"/>
        <w:rPr>
          <w:rFonts w:hint="default" w:ascii="Times New Roman" w:hAnsi="Times New Roman" w:eastAsia="Arial" w:cs="Times New Roman"/>
          <w:b/>
          <w:bCs/>
          <w:color w:val="252525"/>
          <w:sz w:val="24"/>
          <w:szCs w:val="24"/>
          <w:lang w:val="bg-BG"/>
        </w:rPr>
      </w:pPr>
    </w:p>
    <w:p w14:paraId="77251489">
      <w:pPr>
        <w:numPr>
          <w:ilvl w:val="0"/>
          <w:numId w:val="1"/>
        </w:numPr>
        <w:spacing w:before="0" w:after="0" w:line="240" w:lineRule="auto"/>
        <w:ind w:left="0" w:leftChars="0" w:right="0" w:firstLine="0" w:firstLineChars="0"/>
        <w:rPr>
          <w:rFonts w:hint="default" w:ascii="Times New Roman" w:hAnsi="Times New Roman" w:eastAsia="Arial" w:cs="Times New Roman"/>
          <w:b/>
          <w:bCs/>
          <w:color w:val="252525"/>
          <w:sz w:val="24"/>
          <w:szCs w:val="24"/>
          <w:lang w:val="bg-BG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bg-BG"/>
        </w:rPr>
        <w:t>“</w:t>
      </w:r>
      <w:r>
        <w:rPr>
          <w:rFonts w:hint="default" w:ascii="Times New Roman" w:hAnsi="Times New Roman" w:eastAsia="Arial" w:cs="Times New Roman"/>
          <w:b/>
          <w:bCs/>
          <w:color w:val="252525"/>
          <w:sz w:val="24"/>
          <w:szCs w:val="24"/>
        </w:rPr>
        <w:t>Приказката и театърът като инструмент за възпитание и учене в предучилищна възраст</w:t>
      </w:r>
      <w:r>
        <w:rPr>
          <w:rFonts w:hint="default" w:ascii="Times New Roman" w:hAnsi="Times New Roman" w:eastAsia="Arial" w:cs="Times New Roman"/>
          <w:b/>
          <w:bCs/>
          <w:color w:val="252525"/>
          <w:sz w:val="24"/>
          <w:szCs w:val="24"/>
          <w:lang w:val="bg-BG"/>
        </w:rPr>
        <w:t>”</w:t>
      </w:r>
    </w:p>
    <w:p w14:paraId="7744A027">
      <w:pPr>
        <w:numPr>
          <w:ilvl w:val="0"/>
          <w:numId w:val="0"/>
        </w:numPr>
        <w:spacing w:before="0" w:after="0" w:line="240" w:lineRule="auto"/>
        <w:ind w:leftChars="0" w:right="0" w:rightChars="0"/>
        <w:rPr>
          <w:rFonts w:hint="default" w:ascii="Times New Roman" w:hAnsi="Times New Roman" w:eastAsia="Arial" w:cs="Times New Roman"/>
          <w:b/>
          <w:bCs/>
          <w:color w:val="252525"/>
          <w:sz w:val="24"/>
          <w:szCs w:val="24"/>
          <w:lang w:val="bg-BG"/>
        </w:rPr>
      </w:pPr>
    </w:p>
    <w:p w14:paraId="6FFEA2EF">
      <w:pPr>
        <w:spacing w:before="0" w:after="0" w:line="240" w:lineRule="auto"/>
        <w:ind w:left="0" w:right="0"/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</w:pPr>
      <w:r>
        <w:rPr>
          <w:rFonts w:hint="default" w:ascii="Times New Roman" w:hAnsi="Times New Roman" w:eastAsia="Arial" w:cs="Times New Roman"/>
          <w:b/>
          <w:bCs/>
          <w:color w:val="252525"/>
          <w:sz w:val="24"/>
          <w:szCs w:val="24"/>
          <w:lang w:val="bg-BG"/>
        </w:rPr>
        <w:t>7.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bg-BG"/>
        </w:rPr>
        <w:t>“</w:t>
      </w:r>
      <w:r>
        <w:rPr>
          <w:rFonts w:hint="default" w:ascii="Times New Roman" w:hAnsi="Times New Roman" w:eastAsia="Arial" w:cs="Times New Roman"/>
          <w:b/>
          <w:bCs/>
          <w:color w:val="252525"/>
          <w:sz w:val="24"/>
          <w:szCs w:val="24"/>
        </w:rPr>
        <w:t xml:space="preserve">Свободата в граници – педагогически стратегии за съчетаване </w:t>
      </w:r>
      <w:r>
        <w:rPr>
          <w:rFonts w:hint="default" w:ascii="Times New Roman" w:hAnsi="Times New Roman" w:eastAsia="Arial" w:cs="Times New Roman"/>
          <w:b/>
          <w:bCs/>
          <w:color w:val="252525"/>
          <w:sz w:val="24"/>
          <w:szCs w:val="24"/>
          <w:lang w:val="bg-BG"/>
        </w:rPr>
        <w:t>на детския избор и груповата дисциплина.”</w:t>
      </w:r>
    </w:p>
    <w:p w14:paraId="58483B44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</w:pPr>
    </w:p>
    <w:p w14:paraId="4A0B9903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</w:pPr>
    </w:p>
    <w:p w14:paraId="7616E789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</w:pP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ab/>
      </w: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>Силните им страни са:</w:t>
      </w:r>
    </w:p>
    <w:p w14:paraId="6DAE0C59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</w:pPr>
      <w:r>
        <w:rPr>
          <w:rFonts w:ascii="Times New Roman" w:hAnsi="Times New Roman" w:eastAsia="Times New Roman" w:cs="Times New Roman"/>
          <w:bCs/>
          <w:sz w:val="24"/>
          <w:szCs w:val="20"/>
          <w:lang w:val="ru-RU"/>
        </w:rPr>
        <w:t>-</w:t>
      </w: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 xml:space="preserve">  споделяне и обсъждане на добри практики и тяхното осъвременяване чрез нови идеи;</w:t>
      </w:r>
    </w:p>
    <w:p w14:paraId="610D0F3E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</w:pP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>-  експериментиране на нови идеи;</w:t>
      </w:r>
    </w:p>
    <w:p w14:paraId="189BB876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</w:pP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 xml:space="preserve">-  добра предварителна подготовка на работните групи; </w:t>
      </w:r>
    </w:p>
    <w:p w14:paraId="55012821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</w:pP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>-  богат информационен материал, представен от провеждащия квалификацията.</w:t>
      </w:r>
    </w:p>
    <w:p w14:paraId="5680C783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</w:pP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ab/>
      </w: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>Слаби страни:</w:t>
      </w:r>
    </w:p>
    <w:p w14:paraId="1A1E3DA0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</w:pP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>-  липса на точна и ясна мотивация за споделяне;</w:t>
      </w:r>
    </w:p>
    <w:p w14:paraId="6AC71E40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</w:pP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>-  темите да имат по-голяма практическа насоченост, за да са полезни в работата.</w:t>
      </w:r>
    </w:p>
    <w:p w14:paraId="7182A1E5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Cs/>
          <w:sz w:val="24"/>
          <w:szCs w:val="20"/>
          <w:lang w:val="ru-RU"/>
        </w:rPr>
      </w:pPr>
    </w:p>
    <w:p w14:paraId="108945B1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/>
          <w:bCs/>
          <w:sz w:val="24"/>
          <w:szCs w:val="20"/>
          <w:lang w:val="bg-BG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0"/>
        </w:rPr>
        <w:t>II</w:t>
      </w:r>
      <w:r>
        <w:rPr>
          <w:rFonts w:ascii="Times New Roman" w:hAnsi="Times New Roman" w:eastAsia="Times New Roman" w:cs="Times New Roman"/>
          <w:b/>
          <w:bCs/>
          <w:sz w:val="24"/>
          <w:szCs w:val="20"/>
          <w:lang w:val="bg-BG"/>
        </w:rPr>
        <w:t xml:space="preserve">  ПРИОРИТЕТИ ЗА КВАЛИФИКАЦИЯ И ОПРЕДЕЛЯНЕ НА ЦЕЛЕВИ ГРУПИ</w:t>
      </w:r>
    </w:p>
    <w:p w14:paraId="18F27758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</w:pP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ab/>
      </w: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>1.Усъвършенстване на уменията и развитие на професионалните нагласи и ценности на педагогическия и непедагогически персонал. Всички участници във възпитателно-образователния процес да се чувстват еднакво отговорни, ангажирани, значими.</w:t>
      </w:r>
    </w:p>
    <w:p w14:paraId="45D771E4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</w:pP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ab/>
      </w: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>2.Оптимизиране на педагогическата дейност чрез развиване на индивидуалните компетентности на децата на основата на откриването на техните силни и слаби страни.</w:t>
      </w:r>
    </w:p>
    <w:p w14:paraId="11B19B04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</w:pP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ab/>
      </w: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>3.Създаване на условия за развиващо обучение за всяко дете, с неговите заложби, интереси и потребности.</w:t>
      </w:r>
    </w:p>
    <w:p w14:paraId="70A5DC2F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</w:pP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ab/>
      </w: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>4.Създаване на условия за спазване на държавните образователни стандарти и функциониране на детската градина в съответствие на нормативните изисквания.</w:t>
      </w:r>
    </w:p>
    <w:p w14:paraId="33EFE81D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</w:pP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ab/>
      </w: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>5.Повишаване на самочувствието, мотивация за самоусъвършенстване и удовлетвореност на педагозите от придобитите компетентности.</w:t>
      </w:r>
    </w:p>
    <w:p w14:paraId="39FBC3F9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</w:pP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ab/>
      </w: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>6.Партньорство и сътрудничество с родителската общност чрез постоянен диалог, взаимно доверие и подкрепа.</w:t>
      </w:r>
    </w:p>
    <w:p w14:paraId="64B9D0EC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</w:pPr>
    </w:p>
    <w:p w14:paraId="573847EC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/>
          <w:bCs/>
          <w:sz w:val="24"/>
          <w:szCs w:val="20"/>
          <w:lang w:val="bg-BG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0"/>
        </w:rPr>
        <w:t>III</w:t>
      </w:r>
      <w:r>
        <w:rPr>
          <w:rFonts w:ascii="Times New Roman" w:hAnsi="Times New Roman" w:eastAsia="Times New Roman" w:cs="Times New Roman"/>
          <w:b/>
          <w:bCs/>
          <w:sz w:val="24"/>
          <w:szCs w:val="20"/>
          <w:lang w:val="bg-BG"/>
        </w:rPr>
        <w:t xml:space="preserve"> ОСНОВНИ ПРИНЦИПИ И ЦЕЛИ</w:t>
      </w:r>
    </w:p>
    <w:p w14:paraId="648889C3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</w:pP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ab/>
      </w: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 xml:space="preserve">Педагогическият колегиум е отворен за повишаване качеството на възпитателно-образователния процес чрез поставяне на детето в центъра на този процес. </w:t>
      </w:r>
    </w:p>
    <w:p w14:paraId="436EDF20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/>
          <w:bCs/>
          <w:sz w:val="24"/>
          <w:szCs w:val="20"/>
          <w:lang w:val="bg-BG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0"/>
          <w:lang w:val="bg-BG"/>
        </w:rPr>
        <w:t>Принципи:</w:t>
      </w:r>
    </w:p>
    <w:p w14:paraId="5CFB449A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</w:pP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ab/>
      </w: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>1.Лично участие в избиране на квалификационните форми и теми.</w:t>
      </w:r>
    </w:p>
    <w:p w14:paraId="2EEA51DA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</w:pP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ab/>
      </w: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>2.Доброволно участие в квалификационната дейност, съобразно интересите.</w:t>
      </w:r>
    </w:p>
    <w:p w14:paraId="71190A09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/>
          <w:bCs/>
          <w:sz w:val="24"/>
          <w:szCs w:val="20"/>
          <w:lang w:val="bg-BG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0"/>
          <w:lang w:val="bg-BG"/>
        </w:rPr>
        <w:t>Цели:</w:t>
      </w:r>
    </w:p>
    <w:p w14:paraId="666767A6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</w:pP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ab/>
      </w: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>1.Повишаване  на научната, педагогическа и методическа подготовка на учителите и създаване на мотивация за саморазвитие и самоусъвършенстване.</w:t>
      </w:r>
    </w:p>
    <w:p w14:paraId="3F895719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</w:pP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ab/>
      </w: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>2.Усъвършенстване на професионалните умения на учителите и и успешното им кариерно развитие.</w:t>
      </w:r>
    </w:p>
    <w:p w14:paraId="38644061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</w:pP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ab/>
      </w: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>3.Подобряване качеството на работа в екип, а оттам повишаване авторитета и престижа на ДГ”Пинокио”.</w:t>
      </w:r>
    </w:p>
    <w:p w14:paraId="5D193A36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</w:pP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ab/>
      </w: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>4.Създаване на оптимални условия за повишаване на качеството и ефективността на възпитателно-образователния процес чрез добра лична подготовка и квалификация на педагогическия и непедагогически персонал.</w:t>
      </w:r>
    </w:p>
    <w:p w14:paraId="439ED31F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/>
          <w:bCs/>
          <w:sz w:val="24"/>
          <w:szCs w:val="20"/>
          <w:lang w:val="bg-BG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0"/>
          <w:lang w:val="bg-BG"/>
        </w:rPr>
        <w:t>Задачи:</w:t>
      </w:r>
    </w:p>
    <w:p w14:paraId="322A0B63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</w:pP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ab/>
      </w: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>1.Прилагане на гъвкаво управление чрез оптимално използване на човешките ресурси.</w:t>
      </w:r>
    </w:p>
    <w:p w14:paraId="33210C29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</w:pP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ab/>
      </w: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>2.Осигуряване на условия за организиране на разнообразни квалификационни форми за поддържане на професионалната компетентност.</w:t>
      </w:r>
    </w:p>
    <w:p w14:paraId="1E389C33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</w:pP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ab/>
      </w: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>3. Актуализиране на знанията в съответствие с новостите и обмен на идеи за качествено взаимодействие между педагогическите екипи.</w:t>
      </w:r>
    </w:p>
    <w:p w14:paraId="76B1337E">
      <w:pPr>
        <w:autoSpaceDE w:val="0"/>
        <w:autoSpaceDN w:val="0"/>
        <w:adjustRightInd w:val="0"/>
        <w:spacing w:after="0" w:line="300" w:lineRule="exact"/>
        <w:ind w:firstLine="708"/>
        <w:jc w:val="both"/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</w:pP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>4.Поддържане на висока компетентност за особеностите на детското развитие и психо-педагогическата специфика на възрастта на децата.</w:t>
      </w:r>
    </w:p>
    <w:p w14:paraId="1C162990">
      <w:pPr>
        <w:autoSpaceDE w:val="0"/>
        <w:autoSpaceDN w:val="0"/>
        <w:adjustRightInd w:val="0"/>
        <w:spacing w:after="0" w:line="300" w:lineRule="exact"/>
        <w:ind w:firstLine="708"/>
        <w:jc w:val="both"/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</w:pP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>5.Прилагане на методи и форми за работа с децата, ориентирани към стимулиране на самостоятелност, себеизява и креативност.</w:t>
      </w:r>
    </w:p>
    <w:p w14:paraId="6377416B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</w:pP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ab/>
      </w: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>6.Преодоляване на различни дефицити на:</w:t>
      </w:r>
    </w:p>
    <w:p w14:paraId="352DE1C2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</w:pP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ab/>
      </w: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>- организационна култура на работното място;</w:t>
      </w:r>
    </w:p>
    <w:p w14:paraId="0D88D50E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</w:pP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ab/>
      </w: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>- комуникативни умения за работа в екип;</w:t>
      </w:r>
    </w:p>
    <w:p w14:paraId="1CEE49CA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</w:pP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ab/>
      </w: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>- ефективно планиране на индивидуалното професионално развитие.</w:t>
      </w:r>
    </w:p>
    <w:p w14:paraId="16097F99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</w:pPr>
    </w:p>
    <w:p w14:paraId="090F6110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/>
          <w:bCs/>
          <w:sz w:val="24"/>
          <w:szCs w:val="20"/>
          <w:lang w:val="bg-BG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0"/>
        </w:rPr>
        <w:t>IV</w:t>
      </w:r>
      <w:r>
        <w:rPr>
          <w:rFonts w:ascii="Times New Roman" w:hAnsi="Times New Roman" w:eastAsia="Times New Roman" w:cs="Times New Roman"/>
          <w:b/>
          <w:bCs/>
          <w:sz w:val="24"/>
          <w:szCs w:val="20"/>
          <w:lang w:val="bg-BG"/>
        </w:rPr>
        <w:t xml:space="preserve"> ФОРМИ НА КВАЛИФИКАЦИЯ</w:t>
      </w:r>
    </w:p>
    <w:p w14:paraId="1502E073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</w:pP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ab/>
      </w: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>В началото на учебната 202</w:t>
      </w:r>
      <w:r>
        <w:rPr>
          <w:rFonts w:hint="default" w:ascii="Times New Roman" w:hAnsi="Times New Roman" w:eastAsia="Times New Roman" w:cs="Times New Roman"/>
          <w:bCs/>
          <w:sz w:val="24"/>
          <w:szCs w:val="20"/>
          <w:lang w:val="bg-BG"/>
        </w:rPr>
        <w:t>6</w:t>
      </w: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 xml:space="preserve"> /202</w:t>
      </w:r>
      <w:r>
        <w:rPr>
          <w:rFonts w:hint="default" w:ascii="Times New Roman" w:hAnsi="Times New Roman" w:eastAsia="Times New Roman" w:cs="Times New Roman"/>
          <w:bCs/>
          <w:sz w:val="24"/>
          <w:szCs w:val="20"/>
          <w:lang w:val="bg-BG"/>
        </w:rPr>
        <w:t>7</w:t>
      </w: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 xml:space="preserve"> година бе направено устно проучване на потребностите и нагласите на педагогическия персонал  за участие в квалификационни дейности на ниво детска градина и извън институционално ниво. </w:t>
      </w:r>
    </w:p>
    <w:p w14:paraId="5819BE2D">
      <w:pPr>
        <w:autoSpaceDE w:val="0"/>
        <w:autoSpaceDN w:val="0"/>
        <w:adjustRightInd w:val="0"/>
        <w:spacing w:after="0" w:line="300" w:lineRule="exact"/>
        <w:ind w:firstLine="708"/>
        <w:jc w:val="both"/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</w:pP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>Предпочитани форми за обучение са:</w:t>
      </w:r>
    </w:p>
    <w:p w14:paraId="62DD22F5">
      <w:pPr>
        <w:autoSpaceDE w:val="0"/>
        <w:autoSpaceDN w:val="0"/>
        <w:adjustRightInd w:val="0"/>
        <w:spacing w:after="0" w:line="300" w:lineRule="exact"/>
        <w:ind w:firstLine="708"/>
        <w:jc w:val="both"/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</w:pP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 xml:space="preserve">-  самообразование; </w:t>
      </w:r>
    </w:p>
    <w:p w14:paraId="6C5991F7">
      <w:pPr>
        <w:autoSpaceDE w:val="0"/>
        <w:autoSpaceDN w:val="0"/>
        <w:adjustRightInd w:val="0"/>
        <w:spacing w:after="0" w:line="300" w:lineRule="exact"/>
        <w:ind w:firstLine="708"/>
        <w:jc w:val="both"/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</w:pP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>-  практикуми;</w:t>
      </w:r>
    </w:p>
    <w:p w14:paraId="02050441">
      <w:pPr>
        <w:autoSpaceDE w:val="0"/>
        <w:autoSpaceDN w:val="0"/>
        <w:adjustRightInd w:val="0"/>
        <w:spacing w:after="0" w:line="300" w:lineRule="exact"/>
        <w:ind w:firstLine="708"/>
        <w:jc w:val="both"/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</w:pP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 xml:space="preserve">-  дискусии; </w:t>
      </w:r>
    </w:p>
    <w:p w14:paraId="57B42A07">
      <w:pPr>
        <w:autoSpaceDE w:val="0"/>
        <w:autoSpaceDN w:val="0"/>
        <w:adjustRightInd w:val="0"/>
        <w:spacing w:after="0" w:line="300" w:lineRule="exact"/>
        <w:ind w:firstLine="708"/>
        <w:jc w:val="both"/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</w:pP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 xml:space="preserve">-  открити практики в групи и тяхното обсъждане; </w:t>
      </w:r>
    </w:p>
    <w:p w14:paraId="36691669">
      <w:pPr>
        <w:autoSpaceDE w:val="0"/>
        <w:autoSpaceDN w:val="0"/>
        <w:adjustRightInd w:val="0"/>
        <w:spacing w:after="0" w:line="300" w:lineRule="exact"/>
        <w:ind w:firstLine="708"/>
        <w:jc w:val="both"/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</w:pP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>-  работа в екип;</w:t>
      </w:r>
    </w:p>
    <w:p w14:paraId="110A7F24">
      <w:pPr>
        <w:autoSpaceDE w:val="0"/>
        <w:autoSpaceDN w:val="0"/>
        <w:adjustRightInd w:val="0"/>
        <w:spacing w:after="0" w:line="300" w:lineRule="exact"/>
        <w:ind w:firstLine="708"/>
        <w:jc w:val="both"/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</w:pP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>-  курсове с външен лектор;</w:t>
      </w:r>
    </w:p>
    <w:p w14:paraId="180A65CD">
      <w:pPr>
        <w:autoSpaceDE w:val="0"/>
        <w:autoSpaceDN w:val="0"/>
        <w:adjustRightInd w:val="0"/>
        <w:spacing w:after="0" w:line="300" w:lineRule="exact"/>
        <w:ind w:firstLine="708"/>
        <w:jc w:val="both"/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</w:pP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>-  семинари.</w:t>
      </w:r>
    </w:p>
    <w:p w14:paraId="1895E529">
      <w:pPr>
        <w:autoSpaceDE w:val="0"/>
        <w:autoSpaceDN w:val="0"/>
        <w:adjustRightInd w:val="0"/>
        <w:spacing w:after="0" w:line="300" w:lineRule="exact"/>
        <w:ind w:firstLine="708"/>
        <w:jc w:val="both"/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</w:pPr>
    </w:p>
    <w:p w14:paraId="31035FAD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/>
          <w:bCs/>
          <w:sz w:val="24"/>
          <w:szCs w:val="20"/>
          <w:lang w:val="bg-BG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0"/>
        </w:rPr>
        <w:t>V</w:t>
      </w:r>
      <w:r>
        <w:rPr>
          <w:rFonts w:ascii="Times New Roman" w:hAnsi="Times New Roman" w:eastAsia="Times New Roman" w:cs="Times New Roman"/>
          <w:b/>
          <w:bCs/>
          <w:sz w:val="24"/>
          <w:szCs w:val="20"/>
          <w:lang w:val="bg-BG"/>
        </w:rPr>
        <w:t xml:space="preserve"> ДЕЙНОСТИ</w:t>
      </w:r>
    </w:p>
    <w:p w14:paraId="233D68E8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/>
          <w:bCs/>
          <w:sz w:val="24"/>
          <w:szCs w:val="20"/>
          <w:lang w:val="bg-BG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0"/>
          <w:lang w:val="bg-BG"/>
        </w:rPr>
        <w:t>1.Вътрешно-квалификационна дейност</w:t>
      </w:r>
    </w:p>
    <w:tbl>
      <w:tblPr>
        <w:tblStyle w:val="3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2409"/>
        <w:gridCol w:w="1513"/>
        <w:gridCol w:w="1423"/>
        <w:gridCol w:w="1884"/>
        <w:gridCol w:w="958"/>
      </w:tblGrid>
      <w:tr w14:paraId="772BEF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</w:tcPr>
          <w:p w14:paraId="5494AB73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i/>
                <w:lang w:eastAsia="bg-BG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lang w:eastAsia="bg-BG"/>
              </w:rPr>
              <w:t xml:space="preserve">     X</w:t>
            </w:r>
          </w:p>
        </w:tc>
        <w:tc>
          <w:tcPr>
            <w:tcW w:w="2409" w:type="dxa"/>
          </w:tcPr>
          <w:p w14:paraId="7E442C79">
            <w:pPr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hint="default" w:ascii="Times New Roman" w:hAnsi="Times New Roman" w:eastAsia="Arial" w:cs="Times New Roman"/>
                <w:color w:val="252525"/>
                <w:sz w:val="24"/>
                <w:szCs w:val="24"/>
                <w:lang w:val="bg-BG"/>
              </w:rPr>
              <w:t>“</w:t>
            </w:r>
            <w:r>
              <w:rPr>
                <w:rFonts w:hint="default" w:ascii="Times New Roman" w:hAnsi="Times New Roman" w:eastAsia="Arial" w:cs="Times New Roman"/>
                <w:color w:val="25252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Arial" w:cs="Times New Roman"/>
                <w:color w:val="252525"/>
                <w:sz w:val="24"/>
                <w:szCs w:val="24"/>
                <w:lang w:val="bg-BG"/>
              </w:rPr>
              <w:t>Изкуственият интелект - положително и отрицателно влияние върху цялостното мислене и творчество на педагогическите специалисти”</w:t>
            </w:r>
          </w:p>
          <w:p w14:paraId="6157815F">
            <w:pPr>
              <w:pStyle w:val="8"/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sz w:val="28"/>
                <w:szCs w:val="28"/>
                <w:lang w:val="bg-BG"/>
              </w:rPr>
            </w:pPr>
          </w:p>
          <w:p w14:paraId="7796CB3E">
            <w:pPr>
              <w:pStyle w:val="5"/>
              <w:numPr>
                <w:ilvl w:val="0"/>
                <w:numId w:val="0"/>
              </w:numPr>
              <w:spacing w:before="7"/>
              <w:rPr>
                <w:sz w:val="24"/>
                <w:szCs w:val="24"/>
              </w:rPr>
            </w:pPr>
          </w:p>
          <w:p w14:paraId="6AFCCB08"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0"/>
                <w:lang w:val="bg-BG"/>
              </w:rPr>
            </w:pPr>
          </w:p>
        </w:tc>
        <w:tc>
          <w:tcPr>
            <w:tcW w:w="1513" w:type="dxa"/>
          </w:tcPr>
          <w:p w14:paraId="33DE15C6">
            <w:pPr>
              <w:autoSpaceDE w:val="0"/>
              <w:autoSpaceDN w:val="0"/>
              <w:adjustRightInd w:val="0"/>
              <w:spacing w:after="0" w:line="300" w:lineRule="exact"/>
              <w:rPr>
                <w:rFonts w:ascii="Times New Roman" w:hAnsi="Times New Roman" w:eastAsia="Times New Roman" w:cs="Times New Roman"/>
                <w:bCs/>
                <w:sz w:val="24"/>
                <w:szCs w:val="20"/>
                <w:lang w:val="bg-BG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0"/>
                <w:lang w:val="bg-BG"/>
              </w:rPr>
              <w:t>Дискусия</w:t>
            </w:r>
          </w:p>
        </w:tc>
        <w:tc>
          <w:tcPr>
            <w:tcW w:w="1423" w:type="dxa"/>
          </w:tcPr>
          <w:p w14:paraId="11403678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0"/>
                <w:lang w:val="bg-BG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0"/>
                <w:lang w:val="bg-BG"/>
              </w:rPr>
              <w:t>Директор</w:t>
            </w:r>
          </w:p>
          <w:p w14:paraId="3D472FF1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0"/>
                <w:lang w:val="bg-BG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0"/>
                <w:lang w:val="bg-BG"/>
              </w:rPr>
              <w:t>Учители</w:t>
            </w:r>
          </w:p>
        </w:tc>
        <w:tc>
          <w:tcPr>
            <w:tcW w:w="1884" w:type="dxa"/>
          </w:tcPr>
          <w:p w14:paraId="1375218A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hint="default" w:ascii="Times New Roman" w:hAnsi="Times New Roman" w:eastAsia="Times New Roman" w:cs="Times New Roman"/>
                <w:bCs/>
                <w:sz w:val="24"/>
                <w:szCs w:val="20"/>
                <w:lang w:val="bg-BG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0"/>
                <w:lang w:val="bg-BG"/>
              </w:rPr>
              <w:t>В</w:t>
            </w:r>
            <w:r>
              <w:rPr>
                <w:rFonts w:hint="default" w:ascii="Times New Roman" w:hAnsi="Times New Roman" w:eastAsia="Times New Roman" w:cs="Times New Roman"/>
                <w:bCs/>
                <w:sz w:val="24"/>
                <w:szCs w:val="20"/>
                <w:lang w:val="bg-BG"/>
              </w:rPr>
              <w:t>.Хинова</w:t>
            </w:r>
          </w:p>
        </w:tc>
        <w:tc>
          <w:tcPr>
            <w:tcW w:w="958" w:type="dxa"/>
          </w:tcPr>
          <w:p w14:paraId="61D29127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0"/>
                <w:lang w:val="bg-BG"/>
              </w:rPr>
              <w:t>2 час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0"/>
              </w:rPr>
              <w:t>a</w:t>
            </w:r>
          </w:p>
        </w:tc>
      </w:tr>
    </w:tbl>
    <w:p w14:paraId="01FDA12B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/>
          <w:bCs/>
          <w:sz w:val="24"/>
          <w:szCs w:val="20"/>
          <w:lang w:val="bg-BG"/>
        </w:rPr>
      </w:pPr>
    </w:p>
    <w:tbl>
      <w:tblPr>
        <w:tblStyle w:val="3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2409"/>
        <w:gridCol w:w="1513"/>
        <w:gridCol w:w="1423"/>
        <w:gridCol w:w="1884"/>
        <w:gridCol w:w="958"/>
      </w:tblGrid>
      <w:tr w14:paraId="206AFA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</w:tcPr>
          <w:p w14:paraId="188B2E2F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eastAsia="bg-BG"/>
              </w:rPr>
              <w:t xml:space="preserve">    XI</w:t>
            </w:r>
          </w:p>
        </w:tc>
        <w:tc>
          <w:tcPr>
            <w:tcW w:w="2409" w:type="dxa"/>
          </w:tcPr>
          <w:p w14:paraId="4F4394B6">
            <w:pPr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hint="default" w:ascii="Times New Roman" w:hAnsi="Times New Roman" w:eastAsia="Arial" w:cs="Times New Roman"/>
                <w:color w:val="252525"/>
                <w:sz w:val="24"/>
                <w:szCs w:val="24"/>
                <w:lang w:val="bg-BG"/>
              </w:rPr>
              <w:t>“Особености впсихическото развитие при деца с езиково - говорни затруднения”</w:t>
            </w:r>
          </w:p>
          <w:p w14:paraId="6E93CE8D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bg-BG" w:eastAsia="fr-FR"/>
              </w:rPr>
            </w:pPr>
          </w:p>
          <w:p w14:paraId="0144424A">
            <w:pPr>
              <w:autoSpaceDE w:val="0"/>
              <w:autoSpaceDN w:val="0"/>
              <w:adjustRightInd w:val="0"/>
              <w:spacing w:after="0" w:line="300" w:lineRule="exact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bg-BG"/>
              </w:rPr>
            </w:pPr>
          </w:p>
        </w:tc>
        <w:tc>
          <w:tcPr>
            <w:tcW w:w="1513" w:type="dxa"/>
          </w:tcPr>
          <w:p w14:paraId="61C7C237">
            <w:pPr>
              <w:autoSpaceDE w:val="0"/>
              <w:autoSpaceDN w:val="0"/>
              <w:adjustRightInd w:val="0"/>
              <w:spacing w:after="0" w:line="300" w:lineRule="exact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bg-BG"/>
              </w:rPr>
              <w:t>Дискусия</w:t>
            </w:r>
          </w:p>
        </w:tc>
        <w:tc>
          <w:tcPr>
            <w:tcW w:w="1423" w:type="dxa"/>
          </w:tcPr>
          <w:p w14:paraId="5A18C37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bg-BG"/>
              </w:rPr>
              <w:t>Директор</w:t>
            </w:r>
          </w:p>
          <w:p w14:paraId="53FF361A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bg-BG"/>
              </w:rPr>
              <w:t>Учители</w:t>
            </w:r>
          </w:p>
        </w:tc>
        <w:tc>
          <w:tcPr>
            <w:tcW w:w="1884" w:type="dxa"/>
          </w:tcPr>
          <w:p w14:paraId="40674E4D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hint="default" w:ascii="Times New Roman" w:hAnsi="Times New Roman" w:eastAsia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bg-BG"/>
              </w:rPr>
              <w:t>Ев</w:t>
            </w:r>
            <w:r>
              <w:rPr>
                <w:rFonts w:hint="default" w:ascii="Times New Roman" w:hAnsi="Times New Roman" w:eastAsia="Times New Roman" w:cs="Times New Roman"/>
                <w:bCs/>
                <w:sz w:val="24"/>
                <w:szCs w:val="24"/>
                <w:lang w:val="bg-BG"/>
              </w:rPr>
              <w:t>.Иванова</w:t>
            </w:r>
          </w:p>
        </w:tc>
        <w:tc>
          <w:tcPr>
            <w:tcW w:w="958" w:type="dxa"/>
          </w:tcPr>
          <w:p w14:paraId="037A5464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bg-BG"/>
              </w:rPr>
              <w:t>2 часа</w:t>
            </w:r>
          </w:p>
        </w:tc>
      </w:tr>
    </w:tbl>
    <w:p w14:paraId="38E40E10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/>
          <w:bCs/>
          <w:sz w:val="24"/>
          <w:szCs w:val="24"/>
          <w:lang w:val="bg-BG"/>
        </w:rPr>
      </w:pPr>
    </w:p>
    <w:tbl>
      <w:tblPr>
        <w:tblStyle w:val="3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2409"/>
        <w:gridCol w:w="1513"/>
        <w:gridCol w:w="1423"/>
        <w:gridCol w:w="1884"/>
        <w:gridCol w:w="958"/>
      </w:tblGrid>
      <w:tr w14:paraId="04674F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</w:tcPr>
          <w:p w14:paraId="7A4C35ED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eastAsia="bg-BG"/>
              </w:rPr>
              <w:t xml:space="preserve">      XII</w:t>
            </w:r>
          </w:p>
        </w:tc>
        <w:tc>
          <w:tcPr>
            <w:tcW w:w="2409" w:type="dxa"/>
          </w:tcPr>
          <w:p w14:paraId="312CA7A6">
            <w:pPr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bg-BG"/>
              </w:rPr>
              <w:t>“Играта срещу технологиите  -баланс и съвременни игри за развиване на вниманието”</w:t>
            </w:r>
          </w:p>
          <w:p w14:paraId="51B08942">
            <w:pPr>
              <w:pStyle w:val="8"/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sz w:val="24"/>
                <w:szCs w:val="24"/>
                <w:lang w:val="bg-BG"/>
              </w:rPr>
            </w:pPr>
          </w:p>
          <w:p w14:paraId="781E2C91">
            <w:pPr>
              <w:pStyle w:val="5"/>
              <w:numPr>
                <w:ilvl w:val="0"/>
                <w:numId w:val="0"/>
              </w:numPr>
              <w:spacing w:before="7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274A38B5">
            <w:pPr>
              <w:spacing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bg-BG" w:eastAsia="fr-FR"/>
              </w:rPr>
            </w:pPr>
          </w:p>
          <w:p w14:paraId="73F8AF6F">
            <w:pPr>
              <w:spacing w:after="0" w:line="240" w:lineRule="auto"/>
              <w:ind w:left="720"/>
              <w:rPr>
                <w:rFonts w:ascii="Times New Roman" w:hAnsi="Times New Roman" w:eastAsia="Times New Roman" w:cs="Times New Roman"/>
                <w:sz w:val="24"/>
                <w:szCs w:val="24"/>
                <w:lang w:val="bg-BG" w:eastAsia="fr-FR"/>
              </w:rPr>
            </w:pPr>
          </w:p>
          <w:p w14:paraId="28061236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bg-BG"/>
              </w:rPr>
            </w:pPr>
          </w:p>
        </w:tc>
        <w:tc>
          <w:tcPr>
            <w:tcW w:w="1513" w:type="dxa"/>
          </w:tcPr>
          <w:p w14:paraId="431F79B1">
            <w:pPr>
              <w:autoSpaceDE w:val="0"/>
              <w:autoSpaceDN w:val="0"/>
              <w:adjustRightInd w:val="0"/>
              <w:spacing w:after="0" w:line="300" w:lineRule="exact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bg-BG"/>
              </w:rPr>
              <w:t>Практикум</w:t>
            </w:r>
          </w:p>
        </w:tc>
        <w:tc>
          <w:tcPr>
            <w:tcW w:w="1423" w:type="dxa"/>
          </w:tcPr>
          <w:p w14:paraId="49C5D0E4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bg-BG"/>
              </w:rPr>
              <w:t>Директор</w:t>
            </w:r>
          </w:p>
          <w:p w14:paraId="57C5778F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bg-BG"/>
              </w:rPr>
              <w:t>Учители</w:t>
            </w:r>
          </w:p>
        </w:tc>
        <w:tc>
          <w:tcPr>
            <w:tcW w:w="1884" w:type="dxa"/>
          </w:tcPr>
          <w:p w14:paraId="08638C96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hint="default" w:ascii="Times New Roman" w:hAnsi="Times New Roman" w:eastAsia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bg-BG"/>
              </w:rPr>
              <w:t>Ел</w:t>
            </w:r>
            <w:r>
              <w:rPr>
                <w:rFonts w:hint="default" w:ascii="Times New Roman" w:hAnsi="Times New Roman" w:eastAsia="Times New Roman" w:cs="Times New Roman"/>
                <w:bCs/>
                <w:sz w:val="24"/>
                <w:szCs w:val="24"/>
                <w:lang w:val="bg-BG"/>
              </w:rPr>
              <w:t>.Ечева</w:t>
            </w:r>
          </w:p>
        </w:tc>
        <w:tc>
          <w:tcPr>
            <w:tcW w:w="958" w:type="dxa"/>
          </w:tcPr>
          <w:p w14:paraId="6982EB9B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4"/>
                <w:szCs w:val="24"/>
                <w:lang w:val="bg-BG"/>
              </w:rPr>
              <w:t>3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bg-BG"/>
              </w:rPr>
              <w:t xml:space="preserve"> часа</w:t>
            </w:r>
          </w:p>
        </w:tc>
      </w:tr>
    </w:tbl>
    <w:p w14:paraId="56AAD86E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/>
          <w:bCs/>
          <w:sz w:val="24"/>
          <w:szCs w:val="24"/>
          <w:lang w:val="bg-BG"/>
        </w:rPr>
      </w:pPr>
    </w:p>
    <w:p w14:paraId="5B86BA09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/>
          <w:bCs/>
          <w:sz w:val="24"/>
          <w:szCs w:val="24"/>
          <w:lang w:val="bg-BG"/>
        </w:rPr>
      </w:pPr>
    </w:p>
    <w:tbl>
      <w:tblPr>
        <w:tblStyle w:val="3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2409"/>
        <w:gridCol w:w="1513"/>
        <w:gridCol w:w="1423"/>
        <w:gridCol w:w="1884"/>
        <w:gridCol w:w="958"/>
      </w:tblGrid>
      <w:tr w14:paraId="0EE743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</w:tcPr>
          <w:p w14:paraId="3A47915D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val="bg-BG" w:eastAsia="bg-BG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eastAsia="bg-BG"/>
              </w:rPr>
              <w:t xml:space="preserve">     II</w:t>
            </w:r>
          </w:p>
        </w:tc>
        <w:tc>
          <w:tcPr>
            <w:tcW w:w="2409" w:type="dxa"/>
          </w:tcPr>
          <w:p w14:paraId="53A204C3">
            <w:pPr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bg-BG"/>
              </w:rPr>
              <w:t>“Техники за справяне с агресивното поведение при децата”</w:t>
            </w:r>
          </w:p>
          <w:p w14:paraId="1AA698DE">
            <w:pPr>
              <w:pStyle w:val="8"/>
              <w:numPr>
                <w:ilvl w:val="0"/>
                <w:numId w:val="0"/>
              </w:numPr>
              <w:rPr>
                <w:rFonts w:hint="default" w:ascii="Times New Roman" w:hAnsi="Times New Roman" w:eastAsia="Times New Roman" w:cs="Times New Roman"/>
                <w:bCs/>
                <w:sz w:val="24"/>
                <w:szCs w:val="24"/>
                <w:lang w:val="bg-BG"/>
              </w:rPr>
            </w:pPr>
          </w:p>
        </w:tc>
        <w:tc>
          <w:tcPr>
            <w:tcW w:w="1513" w:type="dxa"/>
          </w:tcPr>
          <w:p w14:paraId="4397DC4E">
            <w:pPr>
              <w:autoSpaceDE w:val="0"/>
              <w:autoSpaceDN w:val="0"/>
              <w:adjustRightInd w:val="0"/>
              <w:spacing w:after="0" w:line="300" w:lineRule="exact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bg-BG"/>
              </w:rPr>
              <w:t>Дискусия</w:t>
            </w:r>
          </w:p>
        </w:tc>
        <w:tc>
          <w:tcPr>
            <w:tcW w:w="1423" w:type="dxa"/>
          </w:tcPr>
          <w:p w14:paraId="68431567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bg-BG"/>
              </w:rPr>
              <w:t>Директор</w:t>
            </w:r>
          </w:p>
          <w:p w14:paraId="7382BA0E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bg-BG"/>
              </w:rPr>
              <w:t>Учители</w:t>
            </w:r>
          </w:p>
        </w:tc>
        <w:tc>
          <w:tcPr>
            <w:tcW w:w="1884" w:type="dxa"/>
          </w:tcPr>
          <w:p w14:paraId="4CCB610A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hint="default" w:ascii="Times New Roman" w:hAnsi="Times New Roman" w:eastAsia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bg-BG"/>
              </w:rPr>
              <w:t>М</w:t>
            </w:r>
            <w:r>
              <w:rPr>
                <w:rFonts w:hint="default" w:ascii="Times New Roman" w:hAnsi="Times New Roman" w:eastAsia="Times New Roman" w:cs="Times New Roman"/>
                <w:bCs/>
                <w:sz w:val="24"/>
                <w:szCs w:val="24"/>
                <w:lang w:val="bg-BG"/>
              </w:rPr>
              <w:t>.Стоянова</w:t>
            </w:r>
          </w:p>
        </w:tc>
        <w:tc>
          <w:tcPr>
            <w:tcW w:w="958" w:type="dxa"/>
          </w:tcPr>
          <w:p w14:paraId="3E3DCCFB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4"/>
                <w:szCs w:val="24"/>
                <w:lang w:val="bg-BG"/>
              </w:rPr>
              <w:t>3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bg-BG"/>
              </w:rPr>
              <w:t xml:space="preserve"> часа</w:t>
            </w:r>
          </w:p>
        </w:tc>
      </w:tr>
    </w:tbl>
    <w:p w14:paraId="78F89934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/>
          <w:bCs/>
          <w:sz w:val="24"/>
          <w:szCs w:val="24"/>
          <w:lang w:val="bg-BG"/>
        </w:rPr>
      </w:pPr>
    </w:p>
    <w:p w14:paraId="056FF18E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/>
          <w:bCs/>
          <w:sz w:val="24"/>
          <w:szCs w:val="24"/>
          <w:lang w:val="bg-BG"/>
        </w:rPr>
      </w:pPr>
    </w:p>
    <w:tbl>
      <w:tblPr>
        <w:tblStyle w:val="3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2409"/>
        <w:gridCol w:w="1513"/>
        <w:gridCol w:w="1423"/>
        <w:gridCol w:w="1884"/>
        <w:gridCol w:w="958"/>
      </w:tblGrid>
      <w:tr w14:paraId="1828A6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</w:tcPr>
          <w:p w14:paraId="45AFF2EC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eastAsia="bg-BG"/>
              </w:rPr>
              <w:t xml:space="preserve">    III</w:t>
            </w:r>
          </w:p>
        </w:tc>
        <w:tc>
          <w:tcPr>
            <w:tcW w:w="2409" w:type="dxa"/>
          </w:tcPr>
          <w:p w14:paraId="35A0EEDF">
            <w:pPr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hint="default" w:ascii="Times New Roman" w:hAnsi="Times New Roman" w:eastAsia="Arial" w:cs="Times New Roman"/>
                <w:color w:val="252525"/>
                <w:sz w:val="24"/>
                <w:szCs w:val="24"/>
                <w:lang w:val="bg-BG"/>
              </w:rPr>
              <w:t>“Превенция на конфликтни ситуации с родители”</w:t>
            </w:r>
          </w:p>
          <w:p w14:paraId="5E057811">
            <w:pPr>
              <w:pStyle w:val="5"/>
              <w:numPr>
                <w:ilvl w:val="0"/>
                <w:numId w:val="0"/>
              </w:numPr>
              <w:spacing w:before="7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6E0CE0F3"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bg-BG"/>
              </w:rPr>
            </w:pPr>
          </w:p>
        </w:tc>
        <w:tc>
          <w:tcPr>
            <w:tcW w:w="1513" w:type="dxa"/>
          </w:tcPr>
          <w:p w14:paraId="4CE5D28A">
            <w:pPr>
              <w:autoSpaceDE w:val="0"/>
              <w:autoSpaceDN w:val="0"/>
              <w:adjustRightInd w:val="0"/>
              <w:spacing w:after="0" w:line="300" w:lineRule="exact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bg-BG"/>
              </w:rPr>
              <w:t>Семинар</w:t>
            </w:r>
          </w:p>
        </w:tc>
        <w:tc>
          <w:tcPr>
            <w:tcW w:w="1423" w:type="dxa"/>
          </w:tcPr>
          <w:p w14:paraId="0C07391A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bg-BG"/>
              </w:rPr>
              <w:t>Директор</w:t>
            </w:r>
          </w:p>
          <w:p w14:paraId="7B8988B7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bg-BG"/>
              </w:rPr>
              <w:t>Учители</w:t>
            </w:r>
          </w:p>
        </w:tc>
        <w:tc>
          <w:tcPr>
            <w:tcW w:w="1884" w:type="dxa"/>
          </w:tcPr>
          <w:p w14:paraId="4EDD831A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hint="default" w:ascii="Times New Roman" w:hAnsi="Times New Roman" w:eastAsia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bg-BG"/>
              </w:rPr>
              <w:t>Ел</w:t>
            </w:r>
            <w:r>
              <w:rPr>
                <w:rFonts w:hint="default" w:ascii="Times New Roman" w:hAnsi="Times New Roman" w:eastAsia="Times New Roman" w:cs="Times New Roman"/>
                <w:bCs/>
                <w:sz w:val="24"/>
                <w:szCs w:val="24"/>
                <w:lang w:val="bg-BG"/>
              </w:rPr>
              <w:t>.Ечева</w:t>
            </w:r>
          </w:p>
        </w:tc>
        <w:tc>
          <w:tcPr>
            <w:tcW w:w="958" w:type="dxa"/>
          </w:tcPr>
          <w:p w14:paraId="760884FD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bg-BG"/>
              </w:rPr>
              <w:t>2 часа</w:t>
            </w:r>
          </w:p>
        </w:tc>
      </w:tr>
    </w:tbl>
    <w:p w14:paraId="74A4EFAE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/>
          <w:bCs/>
          <w:sz w:val="24"/>
          <w:szCs w:val="24"/>
          <w:lang w:val="bg-BG"/>
        </w:rPr>
      </w:pPr>
    </w:p>
    <w:p w14:paraId="21CC6284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/>
          <w:bCs/>
          <w:sz w:val="24"/>
          <w:szCs w:val="24"/>
          <w:lang w:val="bg-BG"/>
        </w:rPr>
      </w:pPr>
    </w:p>
    <w:tbl>
      <w:tblPr>
        <w:tblStyle w:val="3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2409"/>
        <w:gridCol w:w="1513"/>
        <w:gridCol w:w="1423"/>
        <w:gridCol w:w="1884"/>
        <w:gridCol w:w="958"/>
      </w:tblGrid>
      <w:tr w14:paraId="40709B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</w:tcPr>
          <w:p w14:paraId="675144E2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eastAsia="bg-BG"/>
              </w:rPr>
              <w:t xml:space="preserve">     IV</w:t>
            </w:r>
          </w:p>
        </w:tc>
        <w:tc>
          <w:tcPr>
            <w:tcW w:w="2409" w:type="dxa"/>
          </w:tcPr>
          <w:p w14:paraId="006DA72C">
            <w:pPr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bg-BG"/>
              </w:rPr>
              <w:t>“Кръговратът Семейство - дете-учител- ДГ.Ролята на позитивното сътрудничество между тях”</w:t>
            </w:r>
          </w:p>
          <w:p w14:paraId="0C655508">
            <w:pPr>
              <w:pStyle w:val="8"/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sz w:val="24"/>
                <w:szCs w:val="24"/>
                <w:lang w:val="bg-BG"/>
              </w:rPr>
            </w:pPr>
          </w:p>
          <w:p w14:paraId="5B7F665B">
            <w:pPr>
              <w:pStyle w:val="5"/>
              <w:numPr>
                <w:ilvl w:val="0"/>
                <w:numId w:val="0"/>
              </w:numPr>
              <w:spacing w:before="7"/>
              <w:rPr>
                <w:sz w:val="24"/>
                <w:szCs w:val="24"/>
              </w:rPr>
            </w:pPr>
          </w:p>
          <w:p w14:paraId="26C3390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bg-BG"/>
              </w:rPr>
            </w:pPr>
          </w:p>
          <w:p w14:paraId="41FF7C9C"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bg-BG"/>
              </w:rPr>
            </w:pPr>
          </w:p>
        </w:tc>
        <w:tc>
          <w:tcPr>
            <w:tcW w:w="1513" w:type="dxa"/>
          </w:tcPr>
          <w:p w14:paraId="0414724B">
            <w:pPr>
              <w:autoSpaceDE w:val="0"/>
              <w:autoSpaceDN w:val="0"/>
              <w:adjustRightInd w:val="0"/>
              <w:spacing w:after="0" w:line="300" w:lineRule="exact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bg-BG"/>
              </w:rPr>
              <w:t>Дискусия</w:t>
            </w:r>
          </w:p>
        </w:tc>
        <w:tc>
          <w:tcPr>
            <w:tcW w:w="1423" w:type="dxa"/>
          </w:tcPr>
          <w:p w14:paraId="238ACE88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bg-BG"/>
              </w:rPr>
              <w:t>Директор</w:t>
            </w:r>
          </w:p>
          <w:p w14:paraId="79AD1915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bg-BG"/>
              </w:rPr>
              <w:t>Учители</w:t>
            </w:r>
          </w:p>
        </w:tc>
        <w:tc>
          <w:tcPr>
            <w:tcW w:w="1884" w:type="dxa"/>
          </w:tcPr>
          <w:p w14:paraId="626B0A4F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hint="default" w:ascii="Times New Roman" w:hAnsi="Times New Roman" w:eastAsia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4"/>
                <w:szCs w:val="24"/>
                <w:lang w:val="bg-BG"/>
              </w:rPr>
              <w:t>В.Хинова</w:t>
            </w:r>
          </w:p>
        </w:tc>
        <w:tc>
          <w:tcPr>
            <w:tcW w:w="958" w:type="dxa"/>
          </w:tcPr>
          <w:p w14:paraId="6026EC3E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bg-BG"/>
              </w:rPr>
              <w:t>2 часа</w:t>
            </w:r>
          </w:p>
        </w:tc>
      </w:tr>
    </w:tbl>
    <w:p w14:paraId="646C3E8C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/>
          <w:bCs/>
          <w:sz w:val="24"/>
          <w:szCs w:val="24"/>
          <w:lang w:val="bg-BG"/>
        </w:rPr>
      </w:pPr>
    </w:p>
    <w:tbl>
      <w:tblPr>
        <w:tblStyle w:val="3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2409"/>
        <w:gridCol w:w="1513"/>
        <w:gridCol w:w="1423"/>
        <w:gridCol w:w="1884"/>
        <w:gridCol w:w="958"/>
      </w:tblGrid>
      <w:tr w14:paraId="3374EB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</w:tcPr>
          <w:p w14:paraId="799E2EF4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hAnsi="Times New Roman" w:eastAsia="Times New Roman" w:cs="Times New Roman"/>
                <w:b/>
                <w:bCs/>
                <w:i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sz w:val="24"/>
                <w:szCs w:val="20"/>
              </w:rPr>
              <w:t xml:space="preserve">     V</w:t>
            </w:r>
          </w:p>
        </w:tc>
        <w:tc>
          <w:tcPr>
            <w:tcW w:w="2409" w:type="dxa"/>
          </w:tcPr>
          <w:p w14:paraId="51826674">
            <w:pPr>
              <w:spacing w:before="0" w:after="0" w:line="240" w:lineRule="auto"/>
              <w:ind w:left="0" w:right="0"/>
              <w:rPr>
                <w:rFonts w:hint="default"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bg-BG"/>
              </w:rPr>
              <w:t>“Нишкография - апликиране с конци - способ за развитие и усъвършенстване на зрително - моторната концентрация при децата”</w:t>
            </w:r>
          </w:p>
          <w:p w14:paraId="16700422">
            <w:pPr>
              <w:pStyle w:val="8"/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sz w:val="28"/>
                <w:szCs w:val="28"/>
                <w:lang w:val="bg-BG"/>
              </w:rPr>
            </w:pPr>
          </w:p>
          <w:p w14:paraId="267C2DF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62786E5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57535DCF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0"/>
                <w:lang w:val="bg-BG"/>
              </w:rPr>
            </w:pPr>
          </w:p>
        </w:tc>
        <w:tc>
          <w:tcPr>
            <w:tcW w:w="1513" w:type="dxa"/>
          </w:tcPr>
          <w:p w14:paraId="01597D0F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0"/>
                <w:lang w:val="bg-BG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0"/>
                <w:lang w:val="bg-BG"/>
              </w:rPr>
              <w:t>Практикум</w:t>
            </w:r>
          </w:p>
        </w:tc>
        <w:tc>
          <w:tcPr>
            <w:tcW w:w="1423" w:type="dxa"/>
          </w:tcPr>
          <w:p w14:paraId="519562D1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0"/>
                <w:lang w:val="bg-BG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0"/>
                <w:lang w:val="bg-BG"/>
              </w:rPr>
              <w:t>Директор</w:t>
            </w:r>
          </w:p>
          <w:p w14:paraId="2DD6359F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0"/>
                <w:lang w:val="bg-BG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0"/>
                <w:lang w:val="bg-BG"/>
              </w:rPr>
              <w:t>Учители</w:t>
            </w:r>
          </w:p>
        </w:tc>
        <w:tc>
          <w:tcPr>
            <w:tcW w:w="1884" w:type="dxa"/>
          </w:tcPr>
          <w:p w14:paraId="71041909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hint="default" w:ascii="Times New Roman" w:hAnsi="Times New Roman" w:eastAsia="Times New Roman" w:cs="Times New Roman"/>
                <w:bCs/>
                <w:sz w:val="24"/>
                <w:szCs w:val="20"/>
                <w:lang w:val="bg-BG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0"/>
                <w:lang w:val="bg-BG"/>
              </w:rPr>
              <w:t>М</w:t>
            </w:r>
            <w:r>
              <w:rPr>
                <w:rFonts w:hint="default" w:ascii="Times New Roman" w:hAnsi="Times New Roman" w:eastAsia="Times New Roman" w:cs="Times New Roman"/>
                <w:bCs/>
                <w:sz w:val="24"/>
                <w:szCs w:val="20"/>
                <w:lang w:val="bg-BG"/>
              </w:rPr>
              <w:t>.Стоянова</w:t>
            </w:r>
          </w:p>
        </w:tc>
        <w:tc>
          <w:tcPr>
            <w:tcW w:w="958" w:type="dxa"/>
          </w:tcPr>
          <w:p w14:paraId="70FCEF8A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0"/>
                <w:lang w:val="bg-BG"/>
              </w:rPr>
              <w:t>2 часа</w:t>
            </w:r>
          </w:p>
        </w:tc>
      </w:tr>
    </w:tbl>
    <w:p w14:paraId="175B2E62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/>
          <w:bCs/>
          <w:sz w:val="24"/>
          <w:szCs w:val="20"/>
          <w:lang w:val="bg-BG"/>
        </w:rPr>
      </w:pPr>
    </w:p>
    <w:p w14:paraId="5223E8F6">
      <w:pPr>
        <w:spacing w:before="9"/>
        <w:ind w:left="1131"/>
        <w:jc w:val="both"/>
        <w:rPr>
          <w:rFonts w:hint="default" w:ascii="Times New Roman" w:hAnsi="Times New Roman" w:cs="Times New Roman"/>
          <w:b/>
          <w:bCs/>
          <w:color w:val="2F2F2F"/>
          <w:sz w:val="24"/>
          <w:szCs w:val="24"/>
        </w:rPr>
      </w:pPr>
    </w:p>
    <w:p w14:paraId="4933C007">
      <w:pPr>
        <w:jc w:val="center"/>
        <w:rPr>
          <w:rFonts w:hint="default" w:ascii="Times New Roman" w:hAnsi="Times New Roman" w:cs="Times New Roman"/>
          <w:b/>
          <w:sz w:val="24"/>
          <w:szCs w:val="24"/>
          <w:lang w:val="bg-BG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 xml:space="preserve">КВАЛИФИКАЦИЯ С </w:t>
      </w:r>
      <w:r>
        <w:rPr>
          <w:rFonts w:hint="default" w:ascii="Times New Roman" w:hAnsi="Times New Roman" w:cs="Times New Roman"/>
          <w:b/>
          <w:sz w:val="24"/>
          <w:szCs w:val="24"/>
          <w:lang w:val="bg-BG"/>
        </w:rPr>
        <w:t>НЕПЕДАГОГИЧЕСКИЯ</w:t>
      </w:r>
      <w:r>
        <w:rPr>
          <w:rFonts w:hint="default" w:ascii="Times New Roman" w:hAnsi="Times New Roman" w:cs="Times New Roman"/>
          <w:b/>
          <w:sz w:val="24"/>
          <w:szCs w:val="24"/>
        </w:rPr>
        <w:t xml:space="preserve"> ПЕРСОН</w:t>
      </w:r>
      <w:r>
        <w:rPr>
          <w:rFonts w:hint="default" w:ascii="Times New Roman" w:hAnsi="Times New Roman" w:cs="Times New Roman"/>
          <w:b/>
          <w:sz w:val="24"/>
          <w:szCs w:val="24"/>
          <w:lang w:val="bg-BG"/>
        </w:rPr>
        <w:t>АЛ</w:t>
      </w:r>
    </w:p>
    <w:p w14:paraId="051B643D">
      <w:pPr>
        <w:tabs>
          <w:tab w:val="left" w:pos="9482"/>
        </w:tabs>
        <w:spacing w:after="0"/>
        <w:rPr>
          <w:rFonts w:ascii="Times New Roman" w:hAnsi="Times New Roman"/>
          <w:b/>
          <w:sz w:val="24"/>
          <w:szCs w:val="24"/>
          <w:lang w:val="en-US"/>
        </w:rPr>
      </w:pPr>
    </w:p>
    <w:tbl>
      <w:tblPr>
        <w:tblStyle w:val="3"/>
        <w:tblW w:w="1053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82"/>
        <w:gridCol w:w="2370"/>
        <w:gridCol w:w="2640"/>
        <w:gridCol w:w="2145"/>
      </w:tblGrid>
      <w:tr w14:paraId="380443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BD4B4" w:themeFill="accent6" w:themeFillTint="66"/>
          </w:tcPr>
          <w:p w14:paraId="549A5B1E">
            <w:pPr>
              <w:rPr>
                <w:rFonts w:ascii="Times New Roman" w:hAnsi="Times New Roman" w:eastAsia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color w:val="auto"/>
                <w:sz w:val="24"/>
                <w:szCs w:val="24"/>
              </w:rPr>
              <w:t xml:space="preserve">                                       Тема</w:t>
            </w:r>
          </w:p>
        </w:tc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BD4B4" w:themeFill="accent6" w:themeFillTint="66"/>
          </w:tcPr>
          <w:p w14:paraId="0D0540FD">
            <w:pPr>
              <w:jc w:val="center"/>
              <w:rPr>
                <w:rFonts w:ascii="Times New Roman" w:hAnsi="Times New Roman" w:eastAsia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color w:val="auto"/>
                <w:sz w:val="24"/>
                <w:szCs w:val="24"/>
              </w:rPr>
              <w:t>Отговорник</w:t>
            </w:r>
          </w:p>
        </w:tc>
        <w:tc>
          <w:tcPr>
            <w:tcW w:w="2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BD4B4" w:themeFill="accent6" w:themeFillTint="66"/>
          </w:tcPr>
          <w:p w14:paraId="16D2B75A">
            <w:pPr>
              <w:jc w:val="center"/>
              <w:rPr>
                <w:rFonts w:ascii="Times New Roman" w:hAnsi="Times New Roman" w:eastAsia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color w:val="auto"/>
                <w:sz w:val="24"/>
                <w:szCs w:val="24"/>
              </w:rPr>
              <w:t>Срок</w:t>
            </w: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BD4B4" w:themeFill="accent6" w:themeFillTint="66"/>
          </w:tcPr>
          <w:p w14:paraId="0DFD88B4">
            <w:pPr>
              <w:jc w:val="center"/>
              <w:rPr>
                <w:rFonts w:ascii="Times New Roman" w:hAnsi="Times New Roman" w:eastAsia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color w:val="auto"/>
                <w:sz w:val="24"/>
                <w:szCs w:val="24"/>
              </w:rPr>
              <w:t>Форма</w:t>
            </w:r>
          </w:p>
        </w:tc>
      </w:tr>
      <w:tr w14:paraId="1347C2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5CC161">
            <w:pPr>
              <w:spacing w:after="0" w:line="240" w:lineRule="auto"/>
              <w:outlineLvl w:val="0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„Указания за първа помощ“</w:t>
            </w:r>
          </w:p>
          <w:p w14:paraId="007D6E86">
            <w:pPr>
              <w:spacing w:after="0" w:line="240" w:lineRule="auto"/>
              <w:outlineLvl w:val="0"/>
              <w:rPr>
                <w:rFonts w:ascii="Times New Roman" w:hAnsi="Times New Roman" w:eastAsia="Times New Roman"/>
                <w:sz w:val="24"/>
                <w:szCs w:val="24"/>
              </w:rPr>
            </w:pPr>
          </w:p>
        </w:tc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D32948">
            <w:pPr>
              <w:spacing w:after="0" w:line="240" w:lineRule="auto"/>
              <w:jc w:val="center"/>
              <w:outlineLvl w:val="0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мед. сестра  </w:t>
            </w:r>
          </w:p>
          <w:p w14:paraId="3B82BE6F">
            <w:pPr>
              <w:spacing w:after="0" w:line="240" w:lineRule="auto"/>
              <w:jc w:val="center"/>
              <w:outlineLvl w:val="0"/>
              <w:rPr>
                <w:rFonts w:hint="default" w:ascii="Times New Roman" w:hAnsi="Times New Roman" w:eastAsia="Times New Roman"/>
                <w:sz w:val="24"/>
                <w:szCs w:val="24"/>
                <w:lang w:val="bg-BG"/>
              </w:rPr>
            </w:pPr>
            <w:r>
              <w:rPr>
                <w:rFonts w:hint="default"/>
                <w:sz w:val="24"/>
                <w:szCs w:val="24"/>
                <w:lang w:val="bg-BG"/>
              </w:rPr>
              <w:t>Г.Димитрова</w:t>
            </w:r>
          </w:p>
        </w:tc>
        <w:tc>
          <w:tcPr>
            <w:tcW w:w="2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9AA7D8">
            <w:pPr>
              <w:spacing w:after="0" w:line="240" w:lineRule="auto"/>
              <w:jc w:val="center"/>
              <w:outlineLvl w:val="0"/>
              <w:rPr>
                <w:rFonts w:hint="default" w:ascii="Times New Roman" w:hAnsi="Times New Roman" w:eastAsia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Ноември 202</w:t>
            </w:r>
            <w:r>
              <w:rPr>
                <w:rFonts w:hint="default" w:ascii="Times New Roman" w:hAnsi="Times New Roman" w:eastAsia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CD7E95">
            <w:pPr>
              <w:spacing w:after="0" w:line="240" w:lineRule="auto"/>
              <w:jc w:val="center"/>
              <w:outlineLvl w:val="0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лекция</w:t>
            </w:r>
          </w:p>
        </w:tc>
      </w:tr>
      <w:tr w14:paraId="746C87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</w:trPr>
        <w:tc>
          <w:tcPr>
            <w:tcW w:w="3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734771">
            <w:pPr>
              <w:spacing w:line="240" w:lineRule="auto"/>
              <w:rPr>
                <w:rFonts w:eastAsia="Times New Roman" w:asciiTheme="minorHAnsi" w:hAnsiTheme="minorHAnsi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„У</w:t>
            </w:r>
            <w:r>
              <w:rPr>
                <w:rFonts w:ascii="Times New Roman" w:hAnsi="Times New Roman"/>
                <w:color w:val="202020"/>
                <w:sz w:val="24"/>
                <w:szCs w:val="24"/>
                <w:shd w:val="clear" w:color="auto" w:fill="FFFFFF"/>
              </w:rPr>
              <w:t xml:space="preserve">съвършенстване на професионалните взаимоотношения </w:t>
            </w:r>
            <w:r>
              <w:rPr>
                <w:color w:val="202020"/>
                <w:sz w:val="24"/>
                <w:szCs w:val="24"/>
                <w:shd w:val="clear" w:color="auto" w:fill="FFFFFF"/>
                <w:lang w:val="bg-BG"/>
              </w:rPr>
              <w:t>с</w:t>
            </w:r>
            <w:r>
              <w:rPr>
                <w:rFonts w:hint="default"/>
                <w:color w:val="202020"/>
                <w:sz w:val="24"/>
                <w:szCs w:val="24"/>
                <w:shd w:val="clear" w:color="auto" w:fill="FFFFFF"/>
                <w:lang w:val="bg-BG"/>
              </w:rPr>
              <w:t xml:space="preserve"> </w:t>
            </w:r>
            <w:r>
              <w:rPr>
                <w:rFonts w:ascii="Times New Roman" w:hAnsi="Times New Roman"/>
                <w:color w:val="202020"/>
                <w:sz w:val="24"/>
                <w:szCs w:val="24"/>
                <w:shd w:val="clear" w:color="auto" w:fill="FFFFFF"/>
              </w:rPr>
              <w:t>педаго</w:t>
            </w:r>
            <w:r>
              <w:rPr>
                <w:color w:val="202020"/>
                <w:sz w:val="24"/>
                <w:szCs w:val="24"/>
                <w:shd w:val="clear" w:color="auto" w:fill="FFFFFF"/>
                <w:lang w:val="bg-BG"/>
              </w:rPr>
              <w:t>зите</w:t>
            </w:r>
            <w:r>
              <w:rPr>
                <w:rFonts w:ascii="Times New Roman" w:hAnsi="Times New Roman"/>
                <w:color w:val="202020"/>
                <w:sz w:val="24"/>
                <w:szCs w:val="24"/>
                <w:shd w:val="clear" w:color="auto" w:fill="FFFFFF"/>
              </w:rPr>
              <w:t>”</w:t>
            </w:r>
          </w:p>
        </w:tc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FB13CA">
            <w:pPr>
              <w:spacing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sz w:val="24"/>
                <w:szCs w:val="24"/>
                <w:lang w:val="bg-BG"/>
              </w:rPr>
              <w:t>Албена</w:t>
            </w:r>
            <w:r>
              <w:rPr>
                <w:rFonts w:hint="default"/>
                <w:sz w:val="24"/>
                <w:szCs w:val="24"/>
                <w:lang w:val="bg-BG"/>
              </w:rPr>
              <w:t xml:space="preserve"> Генчева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– директор</w:t>
            </w:r>
          </w:p>
        </w:tc>
        <w:tc>
          <w:tcPr>
            <w:tcW w:w="2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4A12A0">
            <w:pPr>
              <w:spacing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bg-BG"/>
              </w:rPr>
              <w:t>Октомври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202</w:t>
            </w:r>
            <w:r>
              <w:rPr>
                <w:rFonts w:hint="default" w:ascii="Times New Roman" w:hAnsi="Times New Roman" w:eastAsia="Times New Roman"/>
                <w:sz w:val="24"/>
                <w:szCs w:val="24"/>
                <w:lang w:val="bg-BG"/>
              </w:rPr>
              <w:t>6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г.</w:t>
            </w: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CA4BEA">
            <w:pPr>
              <w:spacing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дискусия</w:t>
            </w:r>
          </w:p>
        </w:tc>
      </w:tr>
      <w:tr w14:paraId="1127C7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3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8168A2">
            <w:pPr>
              <w:spacing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„</w:t>
            </w:r>
            <w:r>
              <w:rPr>
                <w:sz w:val="24"/>
                <w:szCs w:val="24"/>
                <w:lang w:val="bg-BG"/>
              </w:rPr>
              <w:t>Опресняване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 инструкции, указания и други за добро хигиенно поддържане на ДЗ“</w:t>
            </w:r>
          </w:p>
        </w:tc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25293E">
            <w:pPr>
              <w:spacing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мед. Сестра</w:t>
            </w:r>
          </w:p>
          <w:p w14:paraId="3C5221AB">
            <w:pPr>
              <w:spacing w:line="240" w:lineRule="auto"/>
              <w:jc w:val="center"/>
              <w:rPr>
                <w:rFonts w:hint="default" w:ascii="Times New Roman" w:hAnsi="Times New Roman" w:eastAsia="Times New Roman"/>
                <w:sz w:val="24"/>
                <w:szCs w:val="24"/>
                <w:lang w:val="bg-BG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bg-BG"/>
              </w:rPr>
              <w:t>Г.Димитрова</w:t>
            </w:r>
          </w:p>
        </w:tc>
        <w:tc>
          <w:tcPr>
            <w:tcW w:w="2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E9EC6B">
            <w:pPr>
              <w:spacing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Февруари 20</w:t>
            </w:r>
            <w:r>
              <w:rPr>
                <w:rFonts w:hint="default" w:ascii="Times New Roman" w:hAnsi="Times New Roman" w:eastAsia="Times New Roman"/>
                <w:sz w:val="24"/>
                <w:szCs w:val="24"/>
                <w:lang w:val="bg-BG"/>
              </w:rPr>
              <w:t>27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г.</w:t>
            </w: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41EC99">
            <w:pPr>
              <w:spacing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лекция</w:t>
            </w:r>
          </w:p>
        </w:tc>
      </w:tr>
      <w:tr w14:paraId="0B2296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58F453">
            <w:pPr>
              <w:spacing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„Закалителните процедури в детското заведение“</w:t>
            </w:r>
          </w:p>
        </w:tc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70D2FF">
            <w:pPr>
              <w:spacing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мед. сестра </w:t>
            </w:r>
          </w:p>
          <w:p w14:paraId="568D1FA8">
            <w:pPr>
              <w:spacing w:line="240" w:lineRule="auto"/>
              <w:jc w:val="center"/>
              <w:rPr>
                <w:rFonts w:hint="default" w:ascii="Times New Roman" w:hAnsi="Times New Roman" w:eastAsia="Times New Roman"/>
                <w:sz w:val="24"/>
                <w:szCs w:val="24"/>
                <w:lang w:val="bg-BG"/>
              </w:rPr>
            </w:pPr>
            <w:r>
              <w:rPr>
                <w:rFonts w:hint="default"/>
                <w:sz w:val="24"/>
                <w:szCs w:val="24"/>
                <w:lang w:val="bg-BG"/>
              </w:rPr>
              <w:t>Г.Димитрова</w:t>
            </w:r>
          </w:p>
        </w:tc>
        <w:tc>
          <w:tcPr>
            <w:tcW w:w="2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BBB4F9">
            <w:pPr>
              <w:spacing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Март 202</w:t>
            </w:r>
            <w:r>
              <w:rPr>
                <w:rFonts w:hint="default" w:ascii="Times New Roman" w:hAnsi="Times New Roman" w:eastAsia="Times New Roman"/>
                <w:sz w:val="24"/>
                <w:szCs w:val="24"/>
                <w:lang w:val="bg-BG"/>
              </w:rPr>
              <w:t>7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г.</w:t>
            </w: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A2ED42">
            <w:pPr>
              <w:spacing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лекция</w:t>
            </w:r>
          </w:p>
        </w:tc>
      </w:tr>
    </w:tbl>
    <w:p w14:paraId="1733FCDF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/>
          <w:bCs/>
          <w:sz w:val="24"/>
          <w:szCs w:val="20"/>
          <w:lang w:val="bg-BG"/>
        </w:rPr>
      </w:pPr>
    </w:p>
    <w:p w14:paraId="0F77BC8A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/>
          <w:bCs/>
          <w:sz w:val="24"/>
          <w:szCs w:val="20"/>
          <w:lang w:val="bg-BG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0"/>
          <w:lang w:val="bg-BG"/>
        </w:rPr>
        <w:t>ПРАВИЛА ЗА УЧАСТИЕ В КВАЛИФИКАЦИОННА ДЕЙНОСТ</w:t>
      </w:r>
    </w:p>
    <w:p w14:paraId="43294515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/>
          <w:bCs/>
          <w:sz w:val="24"/>
          <w:szCs w:val="20"/>
          <w:lang w:val="bg-BG"/>
        </w:rPr>
      </w:pPr>
    </w:p>
    <w:p w14:paraId="6D25C97D">
      <w:pPr>
        <w:spacing w:after="0" w:line="300" w:lineRule="exact"/>
        <w:jc w:val="both"/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val="bg-BG" w:eastAsia="bg-BG"/>
        </w:rPr>
        <w:t>1.Общи положения</w:t>
      </w:r>
    </w:p>
    <w:p w14:paraId="56BB64BD">
      <w:pPr>
        <w:spacing w:after="0" w:line="300" w:lineRule="exact"/>
        <w:jc w:val="both"/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val="bg-BG" w:eastAsia="bg-BG"/>
        </w:rPr>
        <w:t xml:space="preserve">     </w:t>
      </w:r>
      <w:r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  <w:t>1.1.С тези правила се определят начина, условията и реда за участие във вътрешната квалификационна дейност на персонала.</w:t>
      </w:r>
    </w:p>
    <w:p w14:paraId="77EA0F8A">
      <w:pPr>
        <w:spacing w:after="0" w:line="300" w:lineRule="exact"/>
        <w:jc w:val="both"/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  <w:t xml:space="preserve">     1.2.Повишаването на квалификацията е непрекъснат процес на усъвършенстване и обогатяване компетентностите на педагогическите специалисти за ефективно изпълнение на изискванията на изпълняваната работа и за кариерно развитие.</w:t>
      </w:r>
    </w:p>
    <w:p w14:paraId="5CD41F8A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  <w:t xml:space="preserve">     1.3.Всеки педагогически специалист  е длъжен ежегодно да участва във вътрешна квалификация - в не по-малко от 16 академични часа годишно. </w:t>
      </w:r>
    </w:p>
    <w:p w14:paraId="38BE2E6E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/>
          <w:sz w:val="24"/>
          <w:szCs w:val="24"/>
          <w:lang w:val="bg-BG" w:eastAsia="bg-BG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val="bg-BG" w:eastAsia="bg-BG"/>
        </w:rPr>
        <w:t>2.Принципи и критерии за подбор за обучение и повишаване на квалификацията</w:t>
      </w:r>
    </w:p>
    <w:p w14:paraId="1BC0388C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val="bg-BG" w:eastAsia="bg-BG"/>
        </w:rPr>
        <w:t xml:space="preserve">    </w:t>
      </w:r>
      <w:r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  <w:t>2.1.Адекватност на обучението.</w:t>
      </w:r>
    </w:p>
    <w:p w14:paraId="3B2A1CCF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  <w:t xml:space="preserve">    2.2.Актуалност на обучението.</w:t>
      </w:r>
    </w:p>
    <w:p w14:paraId="67F78B4E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  <w:t xml:space="preserve">    2.3.Осигуряване на равен достъп на всички желаещи да се обучават.</w:t>
      </w:r>
    </w:p>
    <w:p w14:paraId="6C7362E6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  <w:t xml:space="preserve">    2.4.Съобразяване на обучението с интересите и желанията на педагозите.</w:t>
      </w:r>
    </w:p>
    <w:p w14:paraId="4792C852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  <w:t xml:space="preserve">    2.5.Ефективност на обучението.</w:t>
      </w:r>
    </w:p>
    <w:p w14:paraId="790E65F8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/>
          <w:sz w:val="24"/>
          <w:szCs w:val="24"/>
          <w:lang w:val="bg-BG" w:eastAsia="bg-BG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val="bg-BG" w:eastAsia="bg-BG"/>
        </w:rPr>
        <w:t>3.Етапи за реализиране на квалификационната дейност</w:t>
      </w:r>
    </w:p>
    <w:p w14:paraId="46899FDC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  <w:t xml:space="preserve">    3.1.Проучване на потребностите от обучение и квалификация.</w:t>
      </w:r>
    </w:p>
    <w:p w14:paraId="5D972F42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  <w:t xml:space="preserve">    3.2.Определяне на приоритетите за квалификация.</w:t>
      </w:r>
    </w:p>
    <w:p w14:paraId="3EEF6641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  <w:t xml:space="preserve">    3.3. Планиране на обучението.</w:t>
      </w:r>
    </w:p>
    <w:p w14:paraId="16C926D1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  <w:t xml:space="preserve">    3.4.Организиране и провеждане на обучението.</w:t>
      </w:r>
    </w:p>
    <w:p w14:paraId="71B4566C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  <w:t xml:space="preserve">    3.5.Анализ и оценка на ефективността от обучението.</w:t>
      </w:r>
    </w:p>
    <w:p w14:paraId="2D39BFD4">
      <w:pPr>
        <w:spacing w:after="0" w:line="300" w:lineRule="exact"/>
        <w:jc w:val="both"/>
        <w:rPr>
          <w:rFonts w:ascii="Times New Roman" w:hAnsi="Times New Roman" w:eastAsia="Times New Roman" w:cs="Times New Roman"/>
          <w:b/>
          <w:sz w:val="24"/>
          <w:szCs w:val="24"/>
          <w:lang w:val="bg-BG" w:eastAsia="bg-BG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val="bg-BG" w:eastAsia="bg-BG"/>
        </w:rPr>
        <w:t xml:space="preserve">4. Условия и ред за организация и провеждане на вътрешноинстититуционалната квалификация </w:t>
      </w:r>
    </w:p>
    <w:p w14:paraId="47B7FCE6">
      <w:pPr>
        <w:spacing w:after="0" w:line="300" w:lineRule="exact"/>
        <w:jc w:val="both"/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  <w:t xml:space="preserve">     4.1. Квалификационната дейност на педагогическия персонал на ниво детска градина  се осъществява по План за квалификационната дейност на детското заведение.</w:t>
      </w:r>
    </w:p>
    <w:p w14:paraId="03D3E12A">
      <w:pPr>
        <w:spacing w:after="0" w:line="300" w:lineRule="exact"/>
        <w:jc w:val="both"/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  <w:t xml:space="preserve">     4.2. Повишаването на квалификацията на педагогическия персонал има за цел:</w:t>
      </w:r>
    </w:p>
    <w:p w14:paraId="2D133AD0">
      <w:pPr>
        <w:spacing w:after="0" w:line="300" w:lineRule="exact"/>
        <w:jc w:val="both"/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  <w:t xml:space="preserve">     - да дава възможност за задоволяване на професионалните интереси на педагогическите кадри и за тяхното професионално развитие.</w:t>
      </w:r>
    </w:p>
    <w:p w14:paraId="0557DCCD">
      <w:pPr>
        <w:spacing w:after="0" w:line="300" w:lineRule="exact"/>
        <w:jc w:val="both"/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  <w:t xml:space="preserve">     -  Квалификационната дейност на регионално и национално равнище се реализира със съдействието на РУО – В.Търново , университети, колежи, квалификационни институции, центрове за продължаващо обучение  и програми за квалификационни дейности. </w:t>
      </w:r>
    </w:p>
    <w:p w14:paraId="2D2A7CBF">
      <w:pPr>
        <w:spacing w:after="0" w:line="300" w:lineRule="exact"/>
        <w:jc w:val="both"/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  <w:t xml:space="preserve">     -  Във форми за повишаване на квалификацията могат да участват педагогически кадри, които работят в детската градина.</w:t>
      </w:r>
    </w:p>
    <w:p w14:paraId="6D69E639">
      <w:pPr>
        <w:spacing w:after="0" w:line="300" w:lineRule="exact"/>
        <w:jc w:val="both"/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  <w:t xml:space="preserve">     -  Педагогическите кадри се включват в организирани форми за повишаване на квалификацията  - по собствено желание,  по препоръка на работодателя или  по препоръка на експерти от РУО – В.Търново.</w:t>
      </w:r>
    </w:p>
    <w:p w14:paraId="2E300216">
      <w:pPr>
        <w:spacing w:after="0" w:line="300" w:lineRule="exact"/>
        <w:jc w:val="both"/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  <w:t xml:space="preserve">     - Условията за участие във форми за повишаване на квалификацията (трудовоправни, финансови и др.) се договарят между педагогическите кадри и директора на детската градина .</w:t>
      </w:r>
    </w:p>
    <w:p w14:paraId="2EFFC3B9">
      <w:pPr>
        <w:spacing w:after="0" w:line="300" w:lineRule="exact"/>
        <w:jc w:val="both"/>
        <w:rPr>
          <w:rFonts w:ascii="Times New Roman" w:hAnsi="Times New Roman" w:eastAsia="Times New Roman" w:cs="Times New Roman"/>
          <w:sz w:val="24"/>
          <w:szCs w:val="24"/>
          <w:lang w:val="ru-RU"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  <w:t xml:space="preserve">     4.3 Участие на непедагогическия персонал в квалификационна дейност</w:t>
      </w:r>
      <w:r>
        <w:rPr>
          <w:rFonts w:ascii="Times New Roman" w:hAnsi="Times New Roman" w:eastAsia="Times New Roman" w:cs="Times New Roman"/>
          <w:sz w:val="24"/>
          <w:szCs w:val="24"/>
          <w:lang w:val="ru-RU" w:eastAsia="bg-BG"/>
        </w:rPr>
        <w:t>.</w:t>
      </w:r>
    </w:p>
    <w:p w14:paraId="035ABF93">
      <w:pPr>
        <w:spacing w:after="0" w:line="300" w:lineRule="exact"/>
        <w:jc w:val="both"/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  <w:t xml:space="preserve">      - Непедагогическият персонал има право да повишава образованието и професионалната си квалификация и да получава информация за възможностите за повишаване на професионалната си квалификация.</w:t>
      </w:r>
    </w:p>
    <w:p w14:paraId="0DEB0DA0">
      <w:pPr>
        <w:spacing w:after="0" w:line="300" w:lineRule="exact"/>
        <w:jc w:val="both"/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  <w:t xml:space="preserve">      -  Квалификационната дейност се реализира със съдействието на РУО – В.Търново , университети, колежи, квалификационни институции.</w:t>
      </w:r>
    </w:p>
    <w:p w14:paraId="104DC489">
      <w:pPr>
        <w:spacing w:after="0" w:line="300" w:lineRule="exact"/>
        <w:jc w:val="both"/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  <w:t xml:space="preserve">      -  Непедагогическите кадри се включват във форми за повишаване на образованието и квалификацията си -  по собствено желание и  по препоръка на директора на детската градина. </w:t>
      </w:r>
    </w:p>
    <w:p w14:paraId="6DCE0516">
      <w:pPr>
        <w:spacing w:after="0" w:line="300" w:lineRule="exact"/>
        <w:jc w:val="both"/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  <w:t xml:space="preserve">      -  Условията за участие във форми за повишаване на квалификацията</w:t>
      </w:r>
    </w:p>
    <w:p w14:paraId="419435D9">
      <w:pPr>
        <w:spacing w:after="0" w:line="300" w:lineRule="exact"/>
        <w:jc w:val="both"/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  <w:t>(трудовоправни, финансови и др.) се договарят между непедагогическите кадри и директора на детската градина .</w:t>
      </w:r>
    </w:p>
    <w:p w14:paraId="00552B42">
      <w:pPr>
        <w:spacing w:after="0" w:line="300" w:lineRule="exact"/>
        <w:jc w:val="both"/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  <w:t xml:space="preserve">      </w:t>
      </w:r>
      <w:r>
        <w:rPr>
          <w:rFonts w:ascii="Times New Roman" w:hAnsi="Times New Roman" w:eastAsia="Times New Roman" w:cs="Times New Roman"/>
          <w:b/>
          <w:sz w:val="24"/>
          <w:szCs w:val="24"/>
          <w:lang w:val="bg-BG" w:eastAsia="bg-BG"/>
        </w:rPr>
        <w:t>5.Механизъм за финансова подкрепа</w:t>
      </w:r>
    </w:p>
    <w:p w14:paraId="7A7219B8">
      <w:pPr>
        <w:spacing w:after="0" w:line="300" w:lineRule="exact"/>
        <w:jc w:val="both"/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  <w:t xml:space="preserve">      5.1. Средствата за квалификация на персонала се определят в началото на всяка календарна година и са в размер на 1,2 % от годишния ФРЗ.</w:t>
      </w:r>
    </w:p>
    <w:p w14:paraId="07427B97">
      <w:pPr>
        <w:spacing w:after="0" w:line="300" w:lineRule="exact"/>
        <w:jc w:val="both"/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  <w:t xml:space="preserve">      5.2. Финансирането на извънучилищната квалификационна дейност се</w:t>
      </w:r>
    </w:p>
    <w:p w14:paraId="74053894">
      <w:pPr>
        <w:spacing w:after="0" w:line="300" w:lineRule="exact"/>
        <w:jc w:val="both"/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  <w:t>осигурява от Община Велико Търново в рамките на бюджета на детската градина .</w:t>
      </w:r>
    </w:p>
    <w:p w14:paraId="3AE3C911">
      <w:pPr>
        <w:spacing w:after="0" w:line="300" w:lineRule="exact"/>
        <w:jc w:val="both"/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  <w:t xml:space="preserve">      5.3. При наличие на изявено желание от определен учител за участие в квалификационен курс на собствени разноски, след съгласуване с директора на детската градина , да му се предоставя тази възможност.</w:t>
      </w:r>
    </w:p>
    <w:p w14:paraId="56554618">
      <w:pPr>
        <w:spacing w:after="0" w:line="300" w:lineRule="exact"/>
        <w:jc w:val="both"/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  <w:t xml:space="preserve">      5.4.Разходите по процедурите за придобиване на всяка професионално- квалификационна степен се заплащат от учителите. </w:t>
      </w:r>
    </w:p>
    <w:p w14:paraId="7B58DF97">
      <w:pPr>
        <w:autoSpaceDE w:val="0"/>
        <w:autoSpaceDN w:val="0"/>
        <w:adjustRightInd w:val="0"/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</w:pPr>
    </w:p>
    <w:p w14:paraId="60308C14">
      <w:pPr>
        <w:jc w:val="both"/>
        <w:rPr>
          <w:rFonts w:ascii="Times New Roman" w:hAnsi="Times New Roman" w:eastAsia="Times New Roman" w:cs="Times New Roman"/>
          <w:b/>
          <w:bCs/>
          <w:sz w:val="24"/>
          <w:szCs w:val="20"/>
          <w:lang w:val="bg-BG"/>
        </w:rPr>
      </w:pPr>
      <w:r>
        <w:rPr>
          <w:rFonts w:ascii="Calibri" w:hAnsi="Calibri" w:eastAsia="Times New Roman" w:cs="Times New Roman"/>
          <w:lang w:val="bg-BG" w:eastAsia="bg-BG"/>
        </w:rPr>
        <w:t xml:space="preserve">   </w:t>
      </w:r>
      <w:r>
        <w:rPr>
          <w:rFonts w:ascii="Times New Roman" w:hAnsi="Times New Roman" w:eastAsia="Times New Roman" w:cs="Times New Roman"/>
          <w:b/>
          <w:bCs/>
          <w:sz w:val="24"/>
          <w:szCs w:val="20"/>
          <w:lang w:val="bg-BG"/>
        </w:rPr>
        <w:t>2. Извън институционална квалификационна дейност</w:t>
      </w:r>
    </w:p>
    <w:p w14:paraId="23FE8912">
      <w:pPr>
        <w:jc w:val="both"/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</w:pP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 xml:space="preserve">          През учебната 202</w:t>
      </w:r>
      <w:r>
        <w:rPr>
          <w:rFonts w:hint="default" w:ascii="Times New Roman" w:hAnsi="Times New Roman" w:eastAsia="Times New Roman" w:cs="Times New Roman"/>
          <w:bCs/>
          <w:sz w:val="24"/>
          <w:szCs w:val="20"/>
          <w:lang w:val="bg-BG"/>
        </w:rPr>
        <w:t>5</w:t>
      </w: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>-202</w:t>
      </w:r>
      <w:r>
        <w:rPr>
          <w:rFonts w:hint="default" w:ascii="Times New Roman" w:hAnsi="Times New Roman" w:eastAsia="Times New Roman" w:cs="Times New Roman"/>
          <w:bCs/>
          <w:sz w:val="24"/>
          <w:szCs w:val="20"/>
          <w:lang w:val="bg-BG"/>
        </w:rPr>
        <w:t>6</w:t>
      </w: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 xml:space="preserve"> год. Педагогическият персонал  е участвал в извън институционална квалификационна дейност.</w:t>
      </w:r>
    </w:p>
    <w:p w14:paraId="0D520D49">
      <w:pPr>
        <w:jc w:val="both"/>
        <w:rPr>
          <w:rFonts w:ascii="Calibri" w:hAnsi="Calibri" w:eastAsia="Times New Roman" w:cs="Times New Roman"/>
          <w:lang w:val="bg-BG" w:eastAsia="bg-BG"/>
        </w:rPr>
      </w:pP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 xml:space="preserve">          </w:t>
      </w:r>
    </w:p>
    <w:tbl>
      <w:tblPr>
        <w:tblStyle w:val="3"/>
        <w:tblW w:w="104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5"/>
        <w:gridCol w:w="2070"/>
        <w:gridCol w:w="1800"/>
        <w:gridCol w:w="1710"/>
        <w:gridCol w:w="2430"/>
        <w:gridCol w:w="975"/>
      </w:tblGrid>
      <w:tr w14:paraId="4A6E1D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5" w:type="dxa"/>
            <w:shd w:val="clear" w:color="auto" w:fill="auto"/>
          </w:tcPr>
          <w:p w14:paraId="4D69083F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bg-BG"/>
              </w:rPr>
              <w:t>10.2025</w:t>
            </w:r>
          </w:p>
          <w:p w14:paraId="062CDEFB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bg-BG"/>
              </w:rPr>
            </w:pPr>
          </w:p>
          <w:p w14:paraId="6FFC0757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bg-BG"/>
              </w:rPr>
            </w:pPr>
          </w:p>
          <w:p w14:paraId="4961C446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bg-BG"/>
              </w:rPr>
            </w:pPr>
          </w:p>
          <w:p w14:paraId="7E69E960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bg-BG"/>
              </w:rPr>
            </w:pPr>
          </w:p>
          <w:p w14:paraId="7B27ACD2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bg-BG"/>
              </w:rPr>
            </w:pPr>
          </w:p>
          <w:p w14:paraId="1E1FAE90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bg-BG"/>
              </w:rPr>
            </w:pPr>
          </w:p>
          <w:p w14:paraId="0F187180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bg-BG"/>
              </w:rPr>
            </w:pPr>
          </w:p>
          <w:p w14:paraId="797FDFC9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bg-BG"/>
              </w:rPr>
              <w:t>02.2026</w:t>
            </w:r>
          </w:p>
          <w:p w14:paraId="100D444B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bg-BG"/>
              </w:rPr>
            </w:pPr>
          </w:p>
          <w:p w14:paraId="5B81190C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bg-BG"/>
              </w:rPr>
            </w:pPr>
          </w:p>
          <w:p w14:paraId="29F60D09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bg-BG"/>
              </w:rPr>
            </w:pPr>
          </w:p>
          <w:p w14:paraId="0928FD36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bg-BG"/>
              </w:rPr>
            </w:pPr>
          </w:p>
          <w:p w14:paraId="4D20291F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bg-BG"/>
              </w:rPr>
              <w:t>10.2025</w:t>
            </w:r>
          </w:p>
          <w:p w14:paraId="1488BF85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bg-BG"/>
              </w:rPr>
            </w:pPr>
          </w:p>
          <w:p w14:paraId="162D4149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bg-BG"/>
              </w:rPr>
            </w:pPr>
          </w:p>
          <w:p w14:paraId="05941FA7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bg-BG"/>
              </w:rPr>
            </w:pPr>
          </w:p>
          <w:p w14:paraId="0A268FB1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bg-BG"/>
              </w:rPr>
            </w:pPr>
          </w:p>
          <w:p w14:paraId="489E433F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bg-BG"/>
              </w:rPr>
            </w:pPr>
          </w:p>
          <w:p w14:paraId="3F630287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bg-BG"/>
              </w:rPr>
            </w:pPr>
          </w:p>
          <w:p w14:paraId="6E090957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bg-BG"/>
              </w:rPr>
              <w:t>02.2026</w:t>
            </w:r>
          </w:p>
          <w:p w14:paraId="00A01FAC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bg-BG"/>
              </w:rPr>
            </w:pPr>
          </w:p>
          <w:p w14:paraId="505BB378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070" w:type="dxa"/>
            <w:shd w:val="clear" w:color="auto" w:fill="auto"/>
          </w:tcPr>
          <w:p w14:paraId="3897D5A7">
            <w:pPr>
              <w:jc w:val="both"/>
              <w:rPr>
                <w:rFonts w:hint="default" w:ascii="Times New Roman" w:hAnsi="Times New Roman"/>
                <w:sz w:val="24"/>
                <w:szCs w:val="24"/>
                <w:lang w:val="bg-BG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bg-BG"/>
              </w:rPr>
              <w:t>"Водещи образователни приоритети в дейностите по Изобразително изкуство за деца от предучилищна възраст"</w:t>
            </w:r>
          </w:p>
          <w:p w14:paraId="449B4A32">
            <w:pPr>
              <w:jc w:val="both"/>
              <w:rPr>
                <w:rFonts w:hint="default" w:ascii="Times New Roman" w:hAnsi="Times New Roman"/>
                <w:sz w:val="24"/>
                <w:szCs w:val="24"/>
                <w:lang w:val="bg-BG"/>
              </w:rPr>
            </w:pPr>
          </w:p>
          <w:p w14:paraId="09698A34">
            <w:pPr>
              <w:jc w:val="both"/>
              <w:rPr>
                <w:rFonts w:hint="default" w:ascii="Times New Roman" w:hAnsi="Times New Roman"/>
                <w:sz w:val="24"/>
                <w:szCs w:val="24"/>
                <w:lang w:val="bg-BG"/>
              </w:rPr>
            </w:pPr>
          </w:p>
          <w:p w14:paraId="26468930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bg-BG"/>
              </w:rPr>
              <w:t>"Приобщаващо възпитание в ДГ - възможности и перспективи"</w:t>
            </w:r>
          </w:p>
          <w:p w14:paraId="79E0293C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bg-BG"/>
              </w:rPr>
            </w:pPr>
          </w:p>
          <w:p w14:paraId="498F084E">
            <w:pPr>
              <w:jc w:val="both"/>
              <w:rPr>
                <w:rFonts w:hint="default" w:ascii="Times New Roman" w:hAnsi="Times New Roman"/>
                <w:sz w:val="24"/>
                <w:szCs w:val="24"/>
                <w:lang w:val="bg-BG"/>
              </w:rPr>
            </w:pPr>
          </w:p>
          <w:p w14:paraId="7F3B3545">
            <w:pPr>
              <w:jc w:val="both"/>
              <w:rPr>
                <w:rFonts w:hint="default" w:ascii="Times New Roman" w:hAnsi="Times New Roman"/>
                <w:sz w:val="24"/>
                <w:szCs w:val="24"/>
                <w:lang w:val="bg-BG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bg-BG"/>
              </w:rPr>
              <w:t>"Водещи образователни приоритети в дейностите по Изобразително изкуство за деца от предучилищна възраст"</w:t>
            </w:r>
          </w:p>
          <w:p w14:paraId="222D6A01">
            <w:pPr>
              <w:jc w:val="both"/>
              <w:rPr>
                <w:rFonts w:hint="default" w:ascii="Times New Roman" w:hAnsi="Times New Roman"/>
                <w:sz w:val="24"/>
                <w:szCs w:val="24"/>
                <w:lang w:val="bg-BG"/>
              </w:rPr>
            </w:pPr>
          </w:p>
          <w:p w14:paraId="21D5EEB6">
            <w:pPr>
              <w:jc w:val="both"/>
              <w:rPr>
                <w:rFonts w:hint="default" w:ascii="Times New Roman" w:hAnsi="Times New Roman"/>
                <w:sz w:val="24"/>
                <w:szCs w:val="24"/>
                <w:lang w:val="bg-BG"/>
              </w:rPr>
            </w:pPr>
          </w:p>
          <w:p w14:paraId="60F8529E">
            <w:pPr>
              <w:jc w:val="both"/>
              <w:rPr>
                <w:rFonts w:hint="default" w:ascii="Times New Roman" w:hAnsi="Times New Roman"/>
                <w:sz w:val="24"/>
                <w:szCs w:val="24"/>
                <w:lang w:val="bg-BG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bg-BG"/>
              </w:rPr>
              <w:t>"Адаптиране на детето в институционална среда"</w:t>
            </w:r>
          </w:p>
          <w:p w14:paraId="2070361B">
            <w:pPr>
              <w:jc w:val="both"/>
              <w:rPr>
                <w:rFonts w:hint="default" w:ascii="Times New Roman" w:hAnsi="Times New Roman"/>
                <w:sz w:val="24"/>
                <w:szCs w:val="24"/>
                <w:lang w:val="bg-BG"/>
              </w:rPr>
            </w:pPr>
          </w:p>
          <w:p w14:paraId="284DCB09">
            <w:pPr>
              <w:jc w:val="both"/>
              <w:rPr>
                <w:rFonts w:hint="default"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800" w:type="dxa"/>
            <w:shd w:val="clear" w:color="auto" w:fill="auto"/>
          </w:tcPr>
          <w:p w14:paraId="38713474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Квалифик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bg-BG"/>
              </w:rPr>
              <w:t>.курс</w:t>
            </w:r>
          </w:p>
          <w:p w14:paraId="39EC3979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bg-BG"/>
              </w:rPr>
            </w:pPr>
          </w:p>
          <w:p w14:paraId="67776A77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bg-BG"/>
              </w:rPr>
            </w:pPr>
          </w:p>
          <w:p w14:paraId="21972F3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14:paraId="7A89B0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14:paraId="5B22220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14:paraId="4FED724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14:paraId="7CD511E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14:paraId="53038C51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Квалифик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bg-BG"/>
              </w:rPr>
              <w:t>.курс</w:t>
            </w:r>
          </w:p>
          <w:p w14:paraId="46734718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bg-BG"/>
              </w:rPr>
            </w:pPr>
          </w:p>
          <w:p w14:paraId="035A589A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bg-BG"/>
              </w:rPr>
            </w:pPr>
          </w:p>
          <w:p w14:paraId="557F08D7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bg-BG"/>
              </w:rPr>
            </w:pPr>
          </w:p>
          <w:p w14:paraId="36C48A32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bg-BG"/>
              </w:rPr>
            </w:pPr>
          </w:p>
          <w:p w14:paraId="76A5DA02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bg-BG"/>
              </w:rPr>
            </w:pPr>
          </w:p>
          <w:p w14:paraId="1ED097FD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Квалифик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bg-BG"/>
              </w:rPr>
              <w:t>.курс</w:t>
            </w:r>
          </w:p>
          <w:p w14:paraId="2E5A2AF0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bg-BG"/>
              </w:rPr>
            </w:pPr>
          </w:p>
          <w:p w14:paraId="69D4E25E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bg-BG"/>
              </w:rPr>
            </w:pPr>
          </w:p>
          <w:p w14:paraId="593BF92E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bg-BG"/>
              </w:rPr>
            </w:pPr>
          </w:p>
          <w:p w14:paraId="7E7D6D5C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bg-BG"/>
              </w:rPr>
            </w:pPr>
          </w:p>
          <w:p w14:paraId="5A9A235A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bg-BG"/>
              </w:rPr>
            </w:pPr>
          </w:p>
          <w:p w14:paraId="2B92BC78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Квалифик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bg-BG"/>
              </w:rPr>
              <w:t>.курс</w:t>
            </w:r>
          </w:p>
          <w:p w14:paraId="270B2844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bg-BG"/>
              </w:rPr>
            </w:pPr>
          </w:p>
          <w:p w14:paraId="152A4DF4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bg-BG"/>
              </w:rPr>
            </w:pPr>
          </w:p>
          <w:p w14:paraId="73F5A73E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bg-BG"/>
              </w:rPr>
            </w:pPr>
          </w:p>
          <w:p w14:paraId="77A8587C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bg-BG"/>
              </w:rPr>
            </w:pPr>
          </w:p>
          <w:p w14:paraId="2300EA2C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bg-BG"/>
              </w:rPr>
            </w:pPr>
          </w:p>
          <w:p w14:paraId="0063C47C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bg-BG"/>
              </w:rPr>
            </w:pPr>
          </w:p>
          <w:p w14:paraId="179ACF3E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bg-BG"/>
              </w:rPr>
            </w:pPr>
          </w:p>
          <w:p w14:paraId="66CC94AF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bg-BG"/>
              </w:rPr>
            </w:pPr>
          </w:p>
          <w:p w14:paraId="75F55ED3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bg-BG"/>
              </w:rPr>
            </w:pPr>
          </w:p>
          <w:p w14:paraId="0A66329C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710" w:type="dxa"/>
            <w:shd w:val="clear" w:color="auto" w:fill="auto"/>
          </w:tcPr>
          <w:p w14:paraId="6C9D9C44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bg-BG"/>
              </w:rPr>
              <w:t>“Клет” България</w:t>
            </w:r>
          </w:p>
          <w:p w14:paraId="3FFEE54B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bg-BG"/>
              </w:rPr>
            </w:pPr>
          </w:p>
          <w:p w14:paraId="42452E05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bg-BG"/>
              </w:rPr>
            </w:pPr>
          </w:p>
          <w:p w14:paraId="1CDDE94C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bg-BG"/>
              </w:rPr>
            </w:pPr>
          </w:p>
          <w:p w14:paraId="58C6FBC8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bg-BG"/>
              </w:rPr>
            </w:pPr>
          </w:p>
          <w:p w14:paraId="338DB76D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bg-BG"/>
              </w:rPr>
            </w:pPr>
          </w:p>
          <w:p w14:paraId="10D429C4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bg-BG"/>
              </w:rPr>
            </w:pPr>
          </w:p>
          <w:p w14:paraId="33546F53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bg-BG"/>
              </w:rPr>
              <w:t>“Клет” България</w:t>
            </w:r>
          </w:p>
        </w:tc>
        <w:tc>
          <w:tcPr>
            <w:tcW w:w="2430" w:type="dxa"/>
            <w:shd w:val="clear" w:color="auto" w:fill="auto"/>
          </w:tcPr>
          <w:p w14:paraId="13667034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bg-BG"/>
              </w:rPr>
              <w:t>Елена Ечева</w:t>
            </w:r>
          </w:p>
          <w:p w14:paraId="5D160940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bg-BG"/>
              </w:rPr>
            </w:pPr>
          </w:p>
          <w:p w14:paraId="2D40F399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bg-BG"/>
              </w:rPr>
            </w:pPr>
          </w:p>
          <w:p w14:paraId="49DCEBAE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bg-BG"/>
              </w:rPr>
            </w:pPr>
          </w:p>
          <w:p w14:paraId="616AD1D4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bg-BG"/>
              </w:rPr>
            </w:pPr>
          </w:p>
          <w:p w14:paraId="23EB9F5E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bg-BG"/>
              </w:rPr>
            </w:pPr>
          </w:p>
          <w:p w14:paraId="1E53383C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bg-BG"/>
              </w:rPr>
            </w:pPr>
          </w:p>
          <w:p w14:paraId="64D4E13A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bg-BG"/>
              </w:rPr>
            </w:pPr>
          </w:p>
          <w:p w14:paraId="5AB08CF9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bg-BG"/>
              </w:rPr>
              <w:t>Елена Ечева</w:t>
            </w:r>
          </w:p>
          <w:p w14:paraId="0120816A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bg-BG"/>
              </w:rPr>
            </w:pPr>
          </w:p>
          <w:p w14:paraId="73EB4160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bg-BG"/>
              </w:rPr>
            </w:pPr>
          </w:p>
          <w:p w14:paraId="08A4C614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bg-BG"/>
              </w:rPr>
            </w:pPr>
          </w:p>
          <w:p w14:paraId="730E05BB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bg-BG"/>
              </w:rPr>
            </w:pPr>
          </w:p>
          <w:p w14:paraId="488E586D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bg-BG"/>
              </w:rPr>
            </w:pPr>
          </w:p>
          <w:p w14:paraId="63BB2224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bg-BG"/>
              </w:rPr>
              <w:t>Албена Генчева</w:t>
            </w:r>
          </w:p>
          <w:p w14:paraId="79DDFED0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bg-BG"/>
              </w:rPr>
            </w:pPr>
          </w:p>
          <w:p w14:paraId="6AD763F7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bg-BG"/>
              </w:rPr>
            </w:pPr>
          </w:p>
          <w:p w14:paraId="76E8387E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bg-BG"/>
              </w:rPr>
            </w:pPr>
          </w:p>
          <w:p w14:paraId="741BED5D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bg-BG"/>
              </w:rPr>
            </w:pPr>
          </w:p>
          <w:p w14:paraId="25F822DA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bg-BG"/>
              </w:rPr>
            </w:pPr>
          </w:p>
          <w:p w14:paraId="6C2A4233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bg-BG"/>
              </w:rPr>
              <w:t>Албена Генчева</w:t>
            </w:r>
          </w:p>
          <w:p w14:paraId="22A98690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bg-BG"/>
              </w:rPr>
            </w:pPr>
          </w:p>
          <w:p w14:paraId="2F21AF1E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bg-BG"/>
              </w:rPr>
            </w:pPr>
          </w:p>
          <w:p w14:paraId="02F71FF2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bg-BG"/>
              </w:rPr>
            </w:pPr>
          </w:p>
          <w:p w14:paraId="689B8A9A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bg-BG"/>
              </w:rPr>
            </w:pPr>
          </w:p>
          <w:p w14:paraId="6691EF06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bg-BG"/>
              </w:rPr>
            </w:pPr>
          </w:p>
          <w:p w14:paraId="7EE6005C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bg-BG"/>
              </w:rPr>
            </w:pPr>
          </w:p>
          <w:p w14:paraId="14DA6EA5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bg-BG"/>
              </w:rPr>
            </w:pPr>
          </w:p>
          <w:p w14:paraId="2CE209FF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bg-BG"/>
              </w:rPr>
            </w:pPr>
          </w:p>
          <w:p w14:paraId="72FF2AEF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975" w:type="dxa"/>
            <w:shd w:val="clear" w:color="auto" w:fill="auto"/>
          </w:tcPr>
          <w:p w14:paraId="587A7136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bg-BG"/>
              </w:rPr>
              <w:t>1</w:t>
            </w:r>
          </w:p>
          <w:p w14:paraId="1BAC1D59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bg-BG"/>
              </w:rPr>
            </w:pPr>
          </w:p>
          <w:p w14:paraId="47775EAD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bg-BG"/>
              </w:rPr>
            </w:pPr>
          </w:p>
          <w:p w14:paraId="0D436DDE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bg-BG"/>
              </w:rPr>
            </w:pPr>
          </w:p>
          <w:p w14:paraId="7FDC0FE2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bg-BG"/>
              </w:rPr>
            </w:pPr>
          </w:p>
          <w:p w14:paraId="368A0FAD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bg-BG"/>
              </w:rPr>
            </w:pPr>
          </w:p>
          <w:p w14:paraId="5743B6C6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bg-BG"/>
              </w:rPr>
            </w:pPr>
          </w:p>
          <w:p w14:paraId="5AC8BABA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bg-BG"/>
              </w:rPr>
            </w:pPr>
          </w:p>
          <w:p w14:paraId="704502CC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bg-BG"/>
              </w:rPr>
              <w:t>1</w:t>
            </w:r>
          </w:p>
          <w:p w14:paraId="05128B4E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</w:tbl>
    <w:p w14:paraId="7462A0A3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/>
          <w:bCs/>
          <w:sz w:val="24"/>
          <w:szCs w:val="20"/>
          <w:lang w:val="bg-BG"/>
        </w:rPr>
      </w:pPr>
    </w:p>
    <w:p w14:paraId="51FB0625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/>
          <w:bCs/>
          <w:sz w:val="24"/>
          <w:szCs w:val="20"/>
          <w:lang w:val="bg-BG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0"/>
        </w:rPr>
        <w:t>VI</w:t>
      </w:r>
      <w:r>
        <w:rPr>
          <w:rFonts w:ascii="Times New Roman" w:hAnsi="Times New Roman" w:eastAsia="Times New Roman" w:cs="Times New Roman"/>
          <w:b/>
          <w:bCs/>
          <w:sz w:val="24"/>
          <w:szCs w:val="20"/>
          <w:lang w:val="bg-BG"/>
        </w:rPr>
        <w:t xml:space="preserve">  ОЧАКВАНИ РЕЗУЛТАТИ, АНАЛИЗ И ОЦЕНКА НА ЕФЕКТИВНОСТТА</w:t>
      </w:r>
    </w:p>
    <w:p w14:paraId="2004DDA9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/>
          <w:bCs/>
          <w:sz w:val="24"/>
          <w:szCs w:val="20"/>
          <w:lang w:val="bg-BG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0"/>
          <w:lang w:val="bg-BG"/>
        </w:rPr>
        <w:t>1.Очаквани резултати:</w:t>
      </w:r>
    </w:p>
    <w:p w14:paraId="5137FF21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0"/>
          <w:lang w:val="bg-BG"/>
        </w:rPr>
        <w:tab/>
      </w: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>1.1. Високо мотивирани педагози за усъвършенстване знанията, уменията и компетентностите, имащи потребност от информация за новости в педагогическата теория и практика.</w:t>
      </w:r>
    </w:p>
    <w:p w14:paraId="11CA21D8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</w:pP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ab/>
      </w: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>1.2. Ефективно използване на съвременни иновации и обмяна на добри практики.</w:t>
      </w:r>
    </w:p>
    <w:p w14:paraId="0A60D6C0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</w:pP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ab/>
      </w: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>1.3. Учителят е активен фактор на собствената си квалификация.</w:t>
      </w:r>
    </w:p>
    <w:p w14:paraId="4BF52B50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</w:pP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ab/>
      </w: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>1.4. Приемане на различни становища, мнения и идеи с желание за взаимопомощ, комуникативност, равнопоставеност за създаване на позитивна екипна атмосфера.</w:t>
      </w:r>
    </w:p>
    <w:p w14:paraId="1A2EAA79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</w:pP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ab/>
      </w: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>1.5. Успешно усвоено учебно съдържание и покрити държавни образователни стандарти от повече деца.</w:t>
      </w:r>
    </w:p>
    <w:p w14:paraId="425F6BAF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</w:pP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ab/>
      </w: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>1.6. Развитие на умение за споделяне на добри практики.</w:t>
      </w:r>
    </w:p>
    <w:p w14:paraId="6B5F5021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/>
          <w:bCs/>
          <w:sz w:val="24"/>
          <w:szCs w:val="20"/>
          <w:lang w:val="bg-BG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0"/>
          <w:lang w:val="bg-BG"/>
        </w:rPr>
        <w:t>2.Критерии за анализ и оценка</w:t>
      </w:r>
    </w:p>
    <w:p w14:paraId="6EA41152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</w:pP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ab/>
      </w: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>2.1. Ефективност</w:t>
      </w:r>
    </w:p>
    <w:p w14:paraId="3577E792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</w:pP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ab/>
      </w: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>2.2. Оптималност</w:t>
      </w:r>
    </w:p>
    <w:p w14:paraId="41ABC088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</w:pP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ab/>
      </w: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>2.3. Актуалност и социална значимост</w:t>
      </w:r>
    </w:p>
    <w:p w14:paraId="1626A7A2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</w:pP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ab/>
      </w: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 xml:space="preserve">2.4. Иновативност  </w:t>
      </w:r>
    </w:p>
    <w:p w14:paraId="423B5A08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/>
          <w:bCs/>
          <w:sz w:val="24"/>
          <w:szCs w:val="20"/>
          <w:lang w:val="bg-BG"/>
        </w:rPr>
      </w:pPr>
    </w:p>
    <w:p w14:paraId="4A83438B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/>
          <w:bCs/>
          <w:sz w:val="24"/>
          <w:szCs w:val="20"/>
          <w:lang w:val="bg-BG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0"/>
        </w:rPr>
        <w:t>VII</w:t>
      </w:r>
      <w:r>
        <w:rPr>
          <w:rFonts w:ascii="Times New Roman" w:hAnsi="Times New Roman" w:eastAsia="Times New Roman" w:cs="Times New Roman"/>
          <w:b/>
          <w:bCs/>
          <w:sz w:val="24"/>
          <w:szCs w:val="20"/>
          <w:lang w:val="bg-BG"/>
        </w:rPr>
        <w:t xml:space="preserve">  ФИНАНСИРАНЕ НА КВАЛИФИКАЦИОННАТА ДЕЙНОСТ</w:t>
      </w:r>
    </w:p>
    <w:p w14:paraId="2714A26E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0"/>
          <w:lang w:val="bg-BG"/>
        </w:rPr>
        <w:tab/>
      </w: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>Сумата за финансиране на квалификационната дейност съгласно чл.35 от КТД от 17.08.2020 година е не по-малко от 1,2% от ФРЗ. ДГ „Пинокио” не е на делегиран бюджет и поради това не можем сами да разпределим средствата, необходими за извън институционалната квалификация. Разчитаме на община В.Търново да ни осигури необходимите средства.</w:t>
      </w:r>
    </w:p>
    <w:p w14:paraId="4385B17F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Cs/>
          <w:sz w:val="24"/>
          <w:szCs w:val="20"/>
          <w:lang w:val="ru-RU"/>
        </w:rPr>
      </w:pPr>
    </w:p>
    <w:p w14:paraId="67ECF436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/>
          <w:bCs/>
          <w:sz w:val="24"/>
          <w:szCs w:val="20"/>
          <w:lang w:val="bg-BG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0"/>
        </w:rPr>
        <w:t>VIII</w:t>
      </w:r>
      <w:r>
        <w:rPr>
          <w:rFonts w:ascii="Times New Roman" w:hAnsi="Times New Roman" w:eastAsia="Times New Roman" w:cs="Times New Roman"/>
          <w:b/>
          <w:bCs/>
          <w:sz w:val="24"/>
          <w:szCs w:val="20"/>
          <w:lang w:val="bg-BG"/>
        </w:rPr>
        <w:t xml:space="preserve">  КОНТРОЛ</w:t>
      </w:r>
    </w:p>
    <w:p w14:paraId="02521C00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0"/>
          <w:lang w:val="bg-BG"/>
        </w:rPr>
        <w:tab/>
      </w: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>Контролът върху изпълнението на плана за квалификационната дейност в ДГ”Пинокио” се осъществява от директора, като тематиката и периодичността са заложени в План за контролната дейност на директора.</w:t>
      </w:r>
    </w:p>
    <w:p w14:paraId="2CE51173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/>
          <w:bCs/>
          <w:sz w:val="24"/>
          <w:szCs w:val="20"/>
          <w:lang w:val="bg-BG"/>
        </w:rPr>
      </w:pPr>
    </w:p>
    <w:p w14:paraId="18F68B60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</w:pPr>
    </w:p>
    <w:p w14:paraId="029CFE0C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</w:pP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 xml:space="preserve"> </w:t>
      </w:r>
    </w:p>
    <w:p w14:paraId="3488ED29">
      <w:pPr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</w:pPr>
    </w:p>
    <w:p w14:paraId="3A9F9C7C">
      <w:pPr>
        <w:rPr>
          <w:rFonts w:hint="default" w:ascii="Times New Roman" w:hAnsi="Times New Roman" w:cs="Times New Roman"/>
          <w:lang w:val="bg-BG"/>
        </w:rPr>
      </w:pPr>
      <w:r>
        <w:rPr>
          <w:rFonts w:hint="default" w:ascii="Times New Roman" w:hAnsi="Times New Roman" w:cs="Times New Roman"/>
          <w:lang w:val="bg-BG"/>
        </w:rPr>
        <w:t>Запознати с Плана:</w:t>
      </w:r>
    </w:p>
    <w:p w14:paraId="07DF6A97">
      <w:pPr>
        <w:numPr>
          <w:ilvl w:val="0"/>
          <w:numId w:val="2"/>
        </w:numPr>
        <w:rPr>
          <w:rFonts w:hint="default" w:ascii="Times New Roman" w:hAnsi="Times New Roman" w:cs="Times New Roman"/>
          <w:lang w:val="bg-BG"/>
        </w:rPr>
      </w:pPr>
      <w:r>
        <w:rPr>
          <w:rFonts w:hint="default" w:ascii="Times New Roman" w:hAnsi="Times New Roman" w:cs="Times New Roman"/>
          <w:lang w:val="bg-BG"/>
        </w:rPr>
        <w:t>Ваня Хинова</w:t>
      </w:r>
    </w:p>
    <w:p w14:paraId="23FEF64C">
      <w:pPr>
        <w:numPr>
          <w:ilvl w:val="0"/>
          <w:numId w:val="2"/>
        </w:numPr>
        <w:rPr>
          <w:rFonts w:hint="default" w:ascii="Times New Roman" w:hAnsi="Times New Roman" w:cs="Times New Roman"/>
          <w:lang w:val="bg-BG"/>
        </w:rPr>
      </w:pPr>
      <w:r>
        <w:rPr>
          <w:rFonts w:hint="default" w:ascii="Times New Roman" w:hAnsi="Times New Roman" w:cs="Times New Roman"/>
          <w:lang w:val="bg-BG"/>
        </w:rPr>
        <w:t>Елена Ечева</w:t>
      </w:r>
    </w:p>
    <w:p w14:paraId="5972F450">
      <w:pPr>
        <w:numPr>
          <w:ilvl w:val="0"/>
          <w:numId w:val="2"/>
        </w:numPr>
        <w:rPr>
          <w:rFonts w:hint="default" w:ascii="Times New Roman" w:hAnsi="Times New Roman" w:cs="Times New Roman"/>
          <w:lang w:val="bg-BG"/>
        </w:rPr>
      </w:pPr>
      <w:r>
        <w:rPr>
          <w:rFonts w:hint="default" w:ascii="Times New Roman" w:hAnsi="Times New Roman" w:cs="Times New Roman"/>
          <w:lang w:val="bg-BG"/>
        </w:rPr>
        <w:t>Мирела Стоянова</w:t>
      </w:r>
    </w:p>
    <w:p w14:paraId="45292780">
      <w:pPr>
        <w:numPr>
          <w:ilvl w:val="0"/>
          <w:numId w:val="2"/>
        </w:numPr>
        <w:rPr>
          <w:rFonts w:hint="default" w:ascii="Times New Roman" w:hAnsi="Times New Roman" w:cs="Times New Roman"/>
          <w:lang w:val="bg-BG"/>
        </w:rPr>
      </w:pPr>
      <w:r>
        <w:rPr>
          <w:rFonts w:hint="default" w:ascii="Times New Roman" w:hAnsi="Times New Roman" w:cs="Times New Roman"/>
          <w:lang w:val="bg-BG"/>
        </w:rPr>
        <w:t>Евица Иванова</w:t>
      </w:r>
    </w:p>
    <w:p w14:paraId="5481011F">
      <w:pPr>
        <w:numPr>
          <w:ilvl w:val="0"/>
          <w:numId w:val="2"/>
        </w:numPr>
        <w:spacing w:after="200" w:line="276" w:lineRule="auto"/>
        <w:ind w:left="0" w:leftChars="0" w:firstLine="0" w:firstLineChars="0"/>
        <w:rPr>
          <w:rFonts w:hint="default" w:ascii="Times New Roman" w:hAnsi="Times New Roman" w:cs="Times New Roman"/>
          <w:lang w:val="bg-BG"/>
        </w:rPr>
      </w:pPr>
      <w:r>
        <w:rPr>
          <w:rFonts w:hint="default" w:ascii="Times New Roman" w:hAnsi="Times New Roman" w:cs="Times New Roman"/>
          <w:lang w:val="bg-BG"/>
        </w:rPr>
        <w:t>Светла Дончева</w:t>
      </w:r>
    </w:p>
    <w:p w14:paraId="2660DC4E">
      <w:pPr>
        <w:numPr>
          <w:ilvl w:val="0"/>
          <w:numId w:val="2"/>
        </w:numPr>
        <w:spacing w:after="200" w:line="276" w:lineRule="auto"/>
        <w:ind w:left="0" w:leftChars="0" w:firstLine="0" w:firstLineChars="0"/>
        <w:rPr>
          <w:rFonts w:hint="default" w:ascii="Times New Roman" w:hAnsi="Times New Roman" w:cs="Times New Roman"/>
          <w:lang w:val="bg-BG"/>
        </w:rPr>
      </w:pPr>
      <w:r>
        <w:rPr>
          <w:rFonts w:hint="default" w:ascii="Times New Roman" w:hAnsi="Times New Roman" w:cs="Times New Roman"/>
          <w:lang w:val="bg-BG"/>
        </w:rPr>
        <w:t>Теодора Тенджеркова</w:t>
      </w:r>
    </w:p>
    <w:p w14:paraId="2786FD10">
      <w:pPr>
        <w:numPr>
          <w:ilvl w:val="0"/>
          <w:numId w:val="2"/>
        </w:numPr>
        <w:spacing w:after="200" w:line="276" w:lineRule="auto"/>
        <w:ind w:left="0" w:leftChars="0" w:firstLine="0" w:firstLineChars="0"/>
        <w:rPr>
          <w:rFonts w:hint="default" w:ascii="Times New Roman" w:hAnsi="Times New Roman" w:cs="Times New Roman"/>
          <w:lang w:val="bg-BG"/>
        </w:rPr>
      </w:pPr>
      <w:r>
        <w:rPr>
          <w:rFonts w:hint="default" w:ascii="Times New Roman" w:hAnsi="Times New Roman" w:cs="Times New Roman"/>
          <w:lang w:val="bg-BG"/>
        </w:rPr>
        <w:t>Нели Сарминева</w:t>
      </w:r>
    </w:p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5B48290"/>
    <w:multiLevelType w:val="singleLevel"/>
    <w:tmpl w:val="F5B48290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29C47E85"/>
    <w:multiLevelType w:val="singleLevel"/>
    <w:tmpl w:val="29C47E85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653A"/>
    <w:rsid w:val="000E29D0"/>
    <w:rsid w:val="001C7C9B"/>
    <w:rsid w:val="002B5ECB"/>
    <w:rsid w:val="0032640F"/>
    <w:rsid w:val="0034653A"/>
    <w:rsid w:val="003E6BF2"/>
    <w:rsid w:val="005A0DBF"/>
    <w:rsid w:val="006C3F61"/>
    <w:rsid w:val="007B2592"/>
    <w:rsid w:val="00810A84"/>
    <w:rsid w:val="009D4A80"/>
    <w:rsid w:val="009E4CFF"/>
    <w:rsid w:val="00B67C02"/>
    <w:rsid w:val="00E2712F"/>
    <w:rsid w:val="00F655F4"/>
    <w:rsid w:val="00FA3158"/>
    <w:rsid w:val="01642258"/>
    <w:rsid w:val="04AD4706"/>
    <w:rsid w:val="05761B7B"/>
    <w:rsid w:val="078D28E8"/>
    <w:rsid w:val="086E694F"/>
    <w:rsid w:val="10B67616"/>
    <w:rsid w:val="173A6D43"/>
    <w:rsid w:val="1F371F44"/>
    <w:rsid w:val="20B466AA"/>
    <w:rsid w:val="23E96ECE"/>
    <w:rsid w:val="293E089D"/>
    <w:rsid w:val="2B211893"/>
    <w:rsid w:val="2D8566FB"/>
    <w:rsid w:val="2EEC200B"/>
    <w:rsid w:val="30212F6C"/>
    <w:rsid w:val="32AD2970"/>
    <w:rsid w:val="39B51BBA"/>
    <w:rsid w:val="3D375CBE"/>
    <w:rsid w:val="3EC42CE8"/>
    <w:rsid w:val="4213685D"/>
    <w:rsid w:val="4AFD6E06"/>
    <w:rsid w:val="4D08596F"/>
    <w:rsid w:val="4FE36914"/>
    <w:rsid w:val="58EA18F4"/>
    <w:rsid w:val="5AAF3758"/>
    <w:rsid w:val="5B164401"/>
    <w:rsid w:val="5E4E15E4"/>
    <w:rsid w:val="5F8C2351"/>
    <w:rsid w:val="60C14EA2"/>
    <w:rsid w:val="63192522"/>
    <w:rsid w:val="63364851"/>
    <w:rsid w:val="639B2329"/>
    <w:rsid w:val="64AE436A"/>
    <w:rsid w:val="651D1A68"/>
    <w:rsid w:val="6549254A"/>
    <w:rsid w:val="69842EAC"/>
    <w:rsid w:val="75D827AD"/>
    <w:rsid w:val="7BC22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7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5">
    <w:name w:val="Body Text"/>
    <w:basedOn w:val="1"/>
    <w:qFormat/>
    <w:uiPriority w:val="1"/>
    <w:rPr>
      <w:sz w:val="25"/>
      <w:szCs w:val="25"/>
    </w:rPr>
  </w:style>
  <w:style w:type="paragraph" w:styleId="6">
    <w:name w:val="footer"/>
    <w:basedOn w:val="1"/>
    <w:unhideWhenUsed/>
    <w:qFormat/>
    <w:uiPriority w:val="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7">
    <w:name w:val="Изнесен текст Знак"/>
    <w:basedOn w:val="2"/>
    <w:link w:val="4"/>
    <w:semiHidden/>
    <w:qFormat/>
    <w:uiPriority w:val="99"/>
    <w:rPr>
      <w:rFonts w:ascii="Tahoma" w:hAnsi="Tahoma" w:cs="Tahoma"/>
      <w:sz w:val="16"/>
      <w:szCs w:val="16"/>
    </w:rPr>
  </w:style>
  <w:style w:type="paragraph" w:styleId="8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1668</Words>
  <Characters>10736</Characters>
  <Lines>84</Lines>
  <Paragraphs>23</Paragraphs>
  <TotalTime>68</TotalTime>
  <ScaleCrop>false</ScaleCrop>
  <LinksUpToDate>false</LinksUpToDate>
  <CharactersWithSpaces>12532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2022-09-13T12:35:00Z</dcterms:created>
  <dc:creator>Windows User</dc:creator>
  <cp:lastModifiedBy>Albena Gencheva</cp:lastModifiedBy>
  <cp:lastPrinted>2024-09-17T05:41:00Z</cp:lastPrinted>
  <dcterms:modified xsi:type="dcterms:W3CDTF">2026-09-10T07:25:23Z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2FB6242AC0DC436CB4C9754F273D4D27_13</vt:lpwstr>
  </property>
  <property fmtid="{D5CDD505-2E9C-101B-9397-08002B2CF9AE}" pid="4" name="KSOTemplateDocerSaveRecord">
    <vt:lpwstr>eyJoZGlkIjoiZTI4ZTQzNzdiMmM2Y2VhNzY1Y2RmNzRmNjA0NDBlM2YiLCJ1c2VySWQiOiI4NTM4OTA1MjI4NDM0In0=</vt:lpwstr>
  </property>
</Properties>
</file>